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C44" w:rsidRDefault="00320C4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20C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4550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574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273248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273248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273248">
        <w:rPr>
          <w:color w:val="000000" w:themeColor="text1"/>
          <w:u w:color="000000" w:themeColor="text1"/>
        </w:rPr>
        <w:t>1150, CODE OF LAWS OF SOUTH CAROLINA, 1976, RELATING TO A DEDUCTION ON CAPITAL GAINS, SO AS TO PROVIDE FOR A ONE HUNDRED PERCENT EXEMPTION ON ANY CAPITAL GAIN RECOGNIZED FROM THE SALE OF CERTAIN METALS.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4550F" w:rsidRDefault="002455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4550F" w:rsidRDefault="002455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74CB" w:rsidRPr="00273248" w:rsidRDefault="004574CB" w:rsidP="00457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73248">
        <w:rPr>
          <w:color w:val="000000" w:themeColor="text1"/>
          <w:u w:color="000000" w:themeColor="text1"/>
        </w:rPr>
        <w:t>SECTION</w:t>
      </w:r>
      <w:r w:rsidRPr="00273248">
        <w:rPr>
          <w:color w:val="000000" w:themeColor="text1"/>
          <w:u w:color="000000" w:themeColor="text1"/>
        </w:rPr>
        <w:tab/>
        <w:t>1.</w:t>
      </w:r>
      <w:r w:rsidRPr="00273248">
        <w:rPr>
          <w:color w:val="000000" w:themeColor="text1"/>
          <w:u w:color="000000" w:themeColor="text1"/>
        </w:rPr>
        <w:tab/>
        <w:t>Section 12</w:t>
      </w:r>
      <w:r>
        <w:rPr>
          <w:color w:val="000000" w:themeColor="text1"/>
          <w:u w:color="000000" w:themeColor="text1"/>
        </w:rPr>
        <w:noBreakHyphen/>
      </w:r>
      <w:r w:rsidRPr="00273248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273248">
        <w:rPr>
          <w:color w:val="000000" w:themeColor="text1"/>
          <w:u w:color="000000" w:themeColor="text1"/>
        </w:rPr>
        <w:t>1150(A) of the 1976 Code is amended to read:</w:t>
      </w:r>
    </w:p>
    <w:p w:rsidR="004574CB" w:rsidRPr="00273248" w:rsidRDefault="004574CB" w:rsidP="00457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74CB" w:rsidRPr="00273248" w:rsidRDefault="004574CB" w:rsidP="00457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73248">
        <w:rPr>
          <w:color w:val="000000" w:themeColor="text1"/>
          <w:u w:color="000000" w:themeColor="text1"/>
        </w:rPr>
        <w:tab/>
        <w:t>“(A)</w:t>
      </w:r>
      <w:r w:rsidRPr="00273248">
        <w:rPr>
          <w:color w:val="000000" w:themeColor="text1"/>
          <w:u w:color="000000" w:themeColor="text1"/>
        </w:rPr>
        <w:tab/>
        <w:t>Individuals, estates, and trusts are allowed a deduction from South Carolina taxable income equal to forty</w:t>
      </w:r>
      <w:r>
        <w:rPr>
          <w:color w:val="000000" w:themeColor="text1"/>
          <w:u w:color="000000" w:themeColor="text1"/>
        </w:rPr>
        <w:noBreakHyphen/>
      </w:r>
      <w:r w:rsidRPr="00273248">
        <w:rPr>
          <w:color w:val="000000" w:themeColor="text1"/>
          <w:u w:color="000000" w:themeColor="text1"/>
        </w:rPr>
        <w:t>four percent of net capital gain recognized in this State during a taxable year</w:t>
      </w:r>
      <w:r w:rsidRPr="00273248">
        <w:rPr>
          <w:color w:val="000000" w:themeColor="text1"/>
          <w:u w:val="single" w:color="000000" w:themeColor="text1"/>
        </w:rPr>
        <w:t xml:space="preserve">, except for the portion of the capital gain that was recognized from the sale of gold, silver, platinum bullion, or any combination of this bullion, </w:t>
      </w:r>
      <w:r>
        <w:rPr>
          <w:color w:val="000000" w:themeColor="text1"/>
          <w:u w:val="single" w:color="000000" w:themeColor="text1"/>
        </w:rPr>
        <w:t>for which</w:t>
      </w:r>
      <w:r w:rsidRPr="00273248">
        <w:rPr>
          <w:color w:val="000000" w:themeColor="text1"/>
          <w:u w:val="single" w:color="000000" w:themeColor="text1"/>
        </w:rPr>
        <w:t xml:space="preserve"> the deduction equals one</w:t>
      </w:r>
      <w:r>
        <w:rPr>
          <w:color w:val="000000" w:themeColor="text1"/>
          <w:u w:val="single" w:color="000000" w:themeColor="text1"/>
        </w:rPr>
        <w:t xml:space="preserve"> </w:t>
      </w:r>
      <w:r w:rsidRPr="00273248">
        <w:rPr>
          <w:color w:val="000000" w:themeColor="text1"/>
          <w:u w:val="single" w:color="000000" w:themeColor="text1"/>
        </w:rPr>
        <w:t>hundred percent of such capital gain</w:t>
      </w:r>
      <w:r w:rsidRPr="00273248">
        <w:rPr>
          <w:color w:val="000000" w:themeColor="text1"/>
          <w:u w:color="000000" w:themeColor="text1"/>
        </w:rPr>
        <w:t>. In the case of estates and trusts, the deduction is applicable only to income taxed to the estate or trust or individual beneficiaries and not income passed through to nonindividual beneficiaries.”</w:t>
      </w:r>
    </w:p>
    <w:p w:rsidR="004574CB" w:rsidRPr="00273248" w:rsidRDefault="004574CB" w:rsidP="00457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550F" w:rsidRDefault="004574CB" w:rsidP="00457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73248">
        <w:rPr>
          <w:color w:val="000000" w:themeColor="text1"/>
          <w:u w:color="000000" w:themeColor="text1"/>
        </w:rPr>
        <w:t>SECTION</w:t>
      </w:r>
      <w:r w:rsidRPr="00273248">
        <w:rPr>
          <w:color w:val="000000" w:themeColor="text1"/>
          <w:u w:color="000000" w:themeColor="text1"/>
        </w:rPr>
        <w:tab/>
        <w:t>2.</w:t>
      </w:r>
      <w:r w:rsidRPr="00273248">
        <w:rPr>
          <w:color w:val="000000" w:themeColor="text1"/>
          <w:u w:color="000000" w:themeColor="text1"/>
        </w:rPr>
        <w:tab/>
        <w:t>This act takes effect upon approval by the Governor and first applies to tax years beginning after 20</w:t>
      </w:r>
      <w:r w:rsidR="00B56B41">
        <w:rPr>
          <w:color w:val="000000" w:themeColor="text1"/>
          <w:u w:color="000000" w:themeColor="text1"/>
        </w:rPr>
        <w:t>20</w:t>
      </w:r>
      <w:r w:rsidRPr="00273248">
        <w:rPr>
          <w:color w:val="000000" w:themeColor="text1"/>
          <w:u w:color="000000" w:themeColor="text1"/>
        </w:rPr>
        <w:t>.</w:t>
      </w:r>
    </w:p>
    <w:p w:rsidR="00397B5E" w:rsidRDefault="004574C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20C44" w:rsidRDefault="00320C44" w:rsidP="00320C44">
      <w:pPr>
        <w:suppressAutoHyphens/>
      </w:pPr>
    </w:p>
    <w:sectPr w:rsidR="00320C44" w:rsidSect="00320C4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550F" w:rsidRDefault="0024550F" w:rsidP="009F0C77">
      <w:r>
        <w:separator/>
      </w:r>
    </w:p>
  </w:endnote>
  <w:endnote w:type="continuationSeparator" w:id="0">
    <w:p w:rsidR="0024550F" w:rsidRDefault="0024550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947654C-41FF-45CC-B592-20954D9603F5}"/>
    <w:embedBold r:id="rId2" w:fontKey="{C7FD9E68-DA45-4AE6-AB9A-9BCC574446C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BB16740-81CE-4CDD-8B20-9FE3D97588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41E5423-9296-4729-BC7B-ECB409F947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7B5E" w:rsidRPr="00320C44" w:rsidRDefault="00320C44" w:rsidP="00320C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550F" w:rsidRDefault="0024550F" w:rsidP="009F0C77">
      <w:r>
        <w:separator/>
      </w:r>
    </w:p>
  </w:footnote>
  <w:footnote w:type="continuationSeparator" w:id="0">
    <w:p w:rsidR="0024550F" w:rsidRDefault="0024550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73DG21"/>
    <w:docVar w:name="CoverBillType" w:val="b"/>
    <w:docVar w:name="DocPath" w:val="L:\Council\bills\NBD\11073DG21.DOCX"/>
    <w:docVar w:name="dvBillNumber" w:val="337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24550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4550F"/>
    <w:rsid w:val="00250967"/>
    <w:rsid w:val="002543C8"/>
    <w:rsid w:val="0025541D"/>
    <w:rsid w:val="00284AAE"/>
    <w:rsid w:val="002E5912"/>
    <w:rsid w:val="00301B21"/>
    <w:rsid w:val="00320C44"/>
    <w:rsid w:val="00325348"/>
    <w:rsid w:val="0032732C"/>
    <w:rsid w:val="00336AD0"/>
    <w:rsid w:val="00363377"/>
    <w:rsid w:val="0037079A"/>
    <w:rsid w:val="00397B5E"/>
    <w:rsid w:val="003C4DAB"/>
    <w:rsid w:val="003D01E8"/>
    <w:rsid w:val="003E36A5"/>
    <w:rsid w:val="003E5288"/>
    <w:rsid w:val="003F6D79"/>
    <w:rsid w:val="0041760A"/>
    <w:rsid w:val="00417C01"/>
    <w:rsid w:val="004403BD"/>
    <w:rsid w:val="004574CB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6B41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2B7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69DE1B-4504-4930-A4D5-433BC8A54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11CF1F-255A-4CFC-B8EC-6B8CE7B77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186</Words>
  <Characters>925</Characters>
  <Application>Microsoft Office Word</Application>
  <DocSecurity>0</DocSecurity>
  <Lines>35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3378 Text of Previous Version (Dec. 9, 2020) - South Carolina Legislature Online</dc:title>
  <dc:creator>Niki Downey</dc:creator>
  <cp:lastModifiedBy>Sade Wilson</cp:lastModifiedBy>
  <cp:revision>2</cp:revision>
  <cp:lastPrinted>2020-12-01T15:01:00Z</cp:lastPrinted>
  <dcterms:created xsi:type="dcterms:W3CDTF">2020-12-12T00:39:00Z</dcterms:created>
  <dcterms:modified xsi:type="dcterms:W3CDTF">2020-12-12T00:39:00Z</dcterms:modified>
</cp:coreProperties>
</file>