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EB6" w:rsidRDefault="00B54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2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E94">
        <w:rPr>
          <w:color w:val="000000" w:themeColor="text1"/>
          <w:u w:color="000000" w:themeColor="text1"/>
        </w:rPr>
        <w:t>TO AMEND THE CODE OF LAWS OF SOUTH CAROLINA, 1976, BY ADDING SECTION 12</w:t>
      </w:r>
      <w:r w:rsidR="003B5F8A">
        <w:rPr>
          <w:color w:val="000000" w:themeColor="text1"/>
          <w:u w:color="000000" w:themeColor="text1"/>
        </w:rPr>
        <w:noBreakHyphen/>
      </w:r>
      <w:r w:rsidRPr="00867E94">
        <w:rPr>
          <w:color w:val="000000" w:themeColor="text1"/>
          <w:u w:color="000000" w:themeColor="text1"/>
        </w:rPr>
        <w:t>6</w:t>
      </w:r>
      <w:r w:rsidR="003B5F8A">
        <w:rPr>
          <w:color w:val="000000" w:themeColor="text1"/>
          <w:u w:color="000000" w:themeColor="text1"/>
        </w:rPr>
        <w:noBreakHyphen/>
      </w:r>
      <w:r w:rsidRPr="00867E94">
        <w:rPr>
          <w:color w:val="000000" w:themeColor="text1"/>
          <w:u w:color="000000" w:themeColor="text1"/>
        </w:rPr>
        <w:t>3710 SO AS TO ALLOW A FIVE THOUSAND DOLLAR TAX CREDIT TO ANY TAXPAYER THAT EMPLOYS A FORMERLY INCARCERATED INDIVIDUAL AS A FULL</w:t>
      </w:r>
      <w:r w:rsidR="003B5F8A">
        <w:rPr>
          <w:color w:val="000000" w:themeColor="text1"/>
          <w:u w:color="000000" w:themeColor="text1"/>
        </w:rPr>
        <w:noBreakHyphen/>
      </w:r>
      <w:r w:rsidRPr="00867E94">
        <w:rPr>
          <w:color w:val="000000" w:themeColor="text1"/>
          <w:u w:color="000000" w:themeColor="text1"/>
        </w:rPr>
        <w:t>TIME EMPLOYEE FOR ONE YEAR,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25C" w:rsidRDefault="009B4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25C" w:rsidRDefault="009B4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67E94">
        <w:rPr>
          <w:color w:val="000000" w:themeColor="text1"/>
          <w:u w:color="000000" w:themeColor="text1"/>
        </w:rPr>
        <w:t>Article 25, Chapter 6, Title 12 of the 1976 Code is amended by adding:</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“Section 12</w:t>
      </w:r>
      <w:r w:rsidR="003B5F8A">
        <w:rPr>
          <w:color w:val="000000" w:themeColor="text1"/>
          <w:u w:color="000000" w:themeColor="text1"/>
        </w:rPr>
        <w:noBreakHyphen/>
      </w:r>
      <w:r w:rsidRPr="00867E94">
        <w:rPr>
          <w:color w:val="000000" w:themeColor="text1"/>
          <w:u w:color="000000" w:themeColor="text1"/>
        </w:rPr>
        <w:t>6</w:t>
      </w:r>
      <w:r w:rsidR="003B5F8A">
        <w:rPr>
          <w:color w:val="000000" w:themeColor="text1"/>
          <w:u w:color="000000" w:themeColor="text1"/>
        </w:rPr>
        <w:noBreakHyphen/>
      </w:r>
      <w:r w:rsidRPr="00867E94">
        <w:rPr>
          <w:color w:val="000000" w:themeColor="text1"/>
          <w:u w:color="000000" w:themeColor="text1"/>
        </w:rPr>
        <w:t>3710.</w:t>
      </w:r>
      <w:r w:rsidRPr="00867E94">
        <w:rPr>
          <w:color w:val="000000" w:themeColor="text1"/>
          <w:u w:color="000000" w:themeColor="text1"/>
        </w:rPr>
        <w:tab/>
        <w:t>(A)</w:t>
      </w:r>
      <w:r w:rsidRPr="00867E94">
        <w:rPr>
          <w:color w:val="000000" w:themeColor="text1"/>
          <w:u w:color="000000" w:themeColor="text1"/>
        </w:rPr>
        <w:tab/>
        <w:t>For tax years beginning after 20</w:t>
      </w:r>
      <w:r w:rsidR="008A4B11">
        <w:rPr>
          <w:color w:val="000000" w:themeColor="text1"/>
          <w:u w:color="000000" w:themeColor="text1"/>
        </w:rPr>
        <w:t>20</w:t>
      </w:r>
      <w:r w:rsidRPr="00867E94">
        <w:rPr>
          <w:color w:val="000000" w:themeColor="text1"/>
          <w:u w:color="000000" w:themeColor="text1"/>
        </w:rPr>
        <w:t>, there is allowed a tax credit for any taxpayer that employs a formerly incarcerated individual as a full</w:t>
      </w:r>
      <w:r w:rsidR="003B5F8A">
        <w:rPr>
          <w:color w:val="000000" w:themeColor="text1"/>
          <w:u w:color="000000" w:themeColor="text1"/>
        </w:rPr>
        <w:noBreakHyphen/>
      </w:r>
      <w:r w:rsidRPr="00867E94">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(B)</w:t>
      </w:r>
      <w:r w:rsidRPr="00867E9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(C)</w:t>
      </w:r>
      <w:r w:rsidRPr="00867E94">
        <w:rPr>
          <w:color w:val="000000" w:themeColor="text1"/>
          <w:u w:color="000000" w:themeColor="text1"/>
        </w:rPr>
        <w:tab/>
        <w:t>The total amount of the tax credit for a taxable year may not exceed the taxpayer</w:t>
      </w:r>
      <w:r w:rsidR="003B5F8A" w:rsidRPr="003B5F8A">
        <w:rPr>
          <w:color w:val="000000" w:themeColor="text1"/>
          <w:u w:color="000000" w:themeColor="text1"/>
        </w:rPr>
        <w:t>’</w:t>
      </w:r>
      <w:r w:rsidRPr="00867E94">
        <w:rPr>
          <w:color w:val="000000" w:themeColor="text1"/>
          <w:u w:color="000000" w:themeColor="text1"/>
        </w:rPr>
        <w:t>s tax liability.  Any unused credit may be carried over to apply to the taxpayer</w:t>
      </w:r>
      <w:r w:rsidR="003B5F8A" w:rsidRPr="003B5F8A">
        <w:rPr>
          <w:color w:val="000000" w:themeColor="text1"/>
          <w:u w:color="000000" w:themeColor="text1"/>
        </w:rPr>
        <w:t>’</w:t>
      </w:r>
      <w:r w:rsidRPr="00867E94">
        <w:rPr>
          <w:color w:val="000000" w:themeColor="text1"/>
          <w:u w:color="000000" w:themeColor="text1"/>
        </w:rPr>
        <w:t>s succeeding year</w:t>
      </w:r>
      <w:r w:rsidR="003B5F8A" w:rsidRPr="003B5F8A">
        <w:rPr>
          <w:color w:val="000000" w:themeColor="text1"/>
          <w:u w:color="000000" w:themeColor="text1"/>
        </w:rPr>
        <w:t>’</w:t>
      </w:r>
      <w:r w:rsidRPr="00867E94">
        <w:rPr>
          <w:color w:val="000000" w:themeColor="text1"/>
          <w:u w:color="000000" w:themeColor="text1"/>
        </w:rPr>
        <w:t>s liability.</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lastRenderedPageBreak/>
        <w:tab/>
        <w:t>(D)</w:t>
      </w:r>
      <w:r w:rsidRPr="00867E94">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once, regardless of the employer.</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(E)</w:t>
      </w:r>
      <w:r w:rsidRPr="00867E9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(F)</w:t>
      </w:r>
      <w:r w:rsidRPr="00867E94">
        <w:rPr>
          <w:color w:val="000000" w:themeColor="text1"/>
          <w:u w:color="000000" w:themeColor="text1"/>
        </w:rPr>
        <w:tab/>
        <w:t>For purposes of this section:</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(1)</w:t>
      </w:r>
      <w:r w:rsidRPr="00867E94">
        <w:rPr>
          <w:color w:val="000000" w:themeColor="text1"/>
          <w:u w:color="000000" w:themeColor="text1"/>
        </w:rPr>
        <w:tab/>
      </w:r>
      <w:r w:rsidR="003B5F8A" w:rsidRPr="003B5F8A">
        <w:rPr>
          <w:color w:val="000000" w:themeColor="text1"/>
          <w:u w:color="000000" w:themeColor="text1"/>
        </w:rPr>
        <w:t>‘</w:t>
      </w:r>
      <w:r w:rsidRPr="00867E94">
        <w:rPr>
          <w:color w:val="000000" w:themeColor="text1"/>
          <w:u w:color="000000" w:themeColor="text1"/>
        </w:rPr>
        <w:t>Full</w:t>
      </w:r>
      <w:r w:rsidR="003B5F8A">
        <w:rPr>
          <w:color w:val="000000" w:themeColor="text1"/>
          <w:u w:color="000000" w:themeColor="text1"/>
        </w:rPr>
        <w:noBreakHyphen/>
      </w:r>
      <w:r w:rsidRPr="00867E94">
        <w:rPr>
          <w:color w:val="000000" w:themeColor="text1"/>
          <w:u w:color="000000" w:themeColor="text1"/>
        </w:rPr>
        <w:t>time</w:t>
      </w:r>
      <w:r w:rsidR="003B5F8A" w:rsidRPr="003B5F8A">
        <w:rPr>
          <w:color w:val="000000" w:themeColor="text1"/>
          <w:u w:color="000000" w:themeColor="text1"/>
        </w:rPr>
        <w:t>’</w:t>
      </w:r>
      <w:r w:rsidRPr="00867E94">
        <w:rPr>
          <w:color w:val="000000" w:themeColor="text1"/>
          <w:u w:color="000000" w:themeColor="text1"/>
        </w:rPr>
        <w:t xml:space="preserve"> has the same meaning as provided in Section 12</w:t>
      </w:r>
      <w:r w:rsidR="003B5F8A">
        <w:rPr>
          <w:color w:val="000000" w:themeColor="text1"/>
          <w:u w:color="000000" w:themeColor="text1"/>
        </w:rPr>
        <w:noBreakHyphen/>
      </w:r>
      <w:r w:rsidRPr="00867E94">
        <w:rPr>
          <w:color w:val="000000" w:themeColor="text1"/>
          <w:u w:color="000000" w:themeColor="text1"/>
        </w:rPr>
        <w:t>6</w:t>
      </w:r>
      <w:r w:rsidR="003B5F8A">
        <w:rPr>
          <w:color w:val="000000" w:themeColor="text1"/>
          <w:u w:color="000000" w:themeColor="text1"/>
        </w:rPr>
        <w:noBreakHyphen/>
      </w:r>
      <w:r w:rsidRPr="00867E94">
        <w:rPr>
          <w:color w:val="000000" w:themeColor="text1"/>
          <w:u w:color="000000" w:themeColor="text1"/>
        </w:rPr>
        <w:t>3360.</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(2)</w:t>
      </w:r>
      <w:r w:rsidRPr="00867E94">
        <w:rPr>
          <w:color w:val="000000" w:themeColor="text1"/>
          <w:u w:color="000000" w:themeColor="text1"/>
        </w:rPr>
        <w:tab/>
      </w:r>
      <w:r w:rsidR="003B5F8A" w:rsidRPr="003B5F8A">
        <w:rPr>
          <w:color w:val="000000" w:themeColor="text1"/>
          <w:u w:color="000000" w:themeColor="text1"/>
        </w:rPr>
        <w:t>‘</w:t>
      </w:r>
      <w:r w:rsidRPr="00867E94">
        <w:rPr>
          <w:color w:val="000000" w:themeColor="text1"/>
          <w:u w:color="000000" w:themeColor="text1"/>
        </w:rPr>
        <w:t>Incarcerated individual</w:t>
      </w:r>
      <w:r w:rsidR="003B5F8A" w:rsidRPr="003B5F8A">
        <w:rPr>
          <w:color w:val="000000" w:themeColor="text1"/>
          <w:u w:color="000000" w:themeColor="text1"/>
        </w:rPr>
        <w:t>’</w:t>
      </w:r>
      <w:r w:rsidRPr="00867E94">
        <w:rPr>
          <w:color w:val="000000" w:themeColor="text1"/>
          <w:u w:color="000000" w:themeColor="text1"/>
        </w:rPr>
        <w:t xml:space="preserve"> means an individual that was held in a state or county prison, jail, or detention center for at least ninety consecutive days.”</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25C"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E94">
        <w:rPr>
          <w:color w:val="000000" w:themeColor="text1"/>
          <w:u w:color="000000" w:themeColor="text1"/>
        </w:rPr>
        <w:t>SECTION</w:t>
      </w:r>
      <w:r w:rsidRPr="00867E94">
        <w:rPr>
          <w:color w:val="000000" w:themeColor="text1"/>
          <w:u w:color="000000" w:themeColor="text1"/>
        </w:rPr>
        <w:tab/>
        <w:t>2.</w:t>
      </w:r>
      <w:r w:rsidRPr="00867E94">
        <w:rPr>
          <w:color w:val="000000" w:themeColor="text1"/>
          <w:u w:color="000000" w:themeColor="text1"/>
        </w:rPr>
        <w:tab/>
        <w:t>This act takes effect upon approval by the Governor and applies to eligible employees first employed by the employer after the effective date of this act.</w:t>
      </w:r>
    </w:p>
    <w:p w:rsidR="0098200D" w:rsidRDefault="003B5F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EB6" w:rsidRDefault="00B54EB6" w:rsidP="00B54EB6">
      <w:pPr>
        <w:suppressAutoHyphens/>
      </w:pPr>
    </w:p>
    <w:sectPr w:rsidR="00B54EB6" w:rsidSect="00B54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25C" w:rsidRDefault="009B425C" w:rsidP="009F0C77">
      <w:r>
        <w:separator/>
      </w:r>
    </w:p>
  </w:endnote>
  <w:endnote w:type="continuationSeparator" w:id="0">
    <w:p w:rsidR="009B425C" w:rsidRDefault="009B42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04D244-B8B7-4D7B-8321-0F00C6DB0BA6}"/>
    <w:embedBold r:id="rId2" w:fontKey="{9AE574D5-AA88-47B7-9271-DCC05737C454}"/>
  </w:font>
  <w:font w:name="Calibri">
    <w:panose1 w:val="020F0502020204030204"/>
    <w:charset w:val="00"/>
    <w:family w:val="swiss"/>
    <w:pitch w:val="variable"/>
    <w:sig w:usb0="E0002EFF" w:usb1="C000247B" w:usb2="00000009" w:usb3="00000000" w:csb0="000001FF" w:csb1="00000000"/>
    <w:embedRegular r:id="rId3" w:fontKey="{C07623A5-AF5E-4081-A17D-87A0B8477328}"/>
  </w:font>
  <w:font w:name="Cambria">
    <w:panose1 w:val="02040503050406030204"/>
    <w:charset w:val="00"/>
    <w:family w:val="roman"/>
    <w:pitch w:val="variable"/>
    <w:sig w:usb0="E00006FF" w:usb1="420024FF" w:usb2="02000000" w:usb3="00000000" w:csb0="0000019F" w:csb1="00000000"/>
    <w:embedRegular r:id="rId4" w:fontKey="{1AAE8AB4-5265-4025-92DF-E7F07C14FE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00D" w:rsidRPr="00B54EB6" w:rsidRDefault="00B54EB6" w:rsidP="00B54EB6">
    <w:pPr>
      <w:pStyle w:val="Footer"/>
      <w:tabs>
        <w:tab w:val="clear" w:pos="4680"/>
        <w:tab w:val="clear" w:pos="9360"/>
        <w:tab w:val="center" w:pos="2995"/>
      </w:tabs>
      <w:spacing w:before="120"/>
    </w:pPr>
    <w:r>
      <w:t>[3479]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25C" w:rsidRDefault="009B425C" w:rsidP="009F0C77">
      <w:r>
        <w:separator/>
      </w:r>
    </w:p>
  </w:footnote>
  <w:footnote w:type="continuationSeparator" w:id="0">
    <w:p w:rsidR="009B425C" w:rsidRDefault="009B42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DG21"/>
    <w:docVar w:name="CoverBillType" w:val="b"/>
    <w:docVar w:name="DocPath" w:val="L:\Council\bills\NBD\11118DG21.DOCX"/>
    <w:docVar w:name="dvBillNumber" w:val="3479"/>
    <w:docVar w:name="dvBillNumberPrefix" w:val="H. "/>
    <w:docVar w:name="dvOriginalBody" w:val="House"/>
    <w:docVar w:name="dvSteno" w:val="NBD"/>
    <w:docVar w:name="NameofBody" w:val="h"/>
    <w:docVar w:name="vGroup2" w:val="Council"/>
  </w:docVars>
  <w:rsids>
    <w:rsidRoot w:val="009B42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B74"/>
    <w:rsid w:val="00205238"/>
    <w:rsid w:val="002321B6"/>
    <w:rsid w:val="00232912"/>
    <w:rsid w:val="00250967"/>
    <w:rsid w:val="002543C8"/>
    <w:rsid w:val="0025541D"/>
    <w:rsid w:val="00284AAE"/>
    <w:rsid w:val="002E5912"/>
    <w:rsid w:val="00301B21"/>
    <w:rsid w:val="00325348"/>
    <w:rsid w:val="0032732C"/>
    <w:rsid w:val="00336AD0"/>
    <w:rsid w:val="0037079A"/>
    <w:rsid w:val="003B5F8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4B11"/>
    <w:rsid w:val="008F0F33"/>
    <w:rsid w:val="008F4429"/>
    <w:rsid w:val="0094021A"/>
    <w:rsid w:val="0098200D"/>
    <w:rsid w:val="009B425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EB6"/>
    <w:rsid w:val="00B64FFF"/>
    <w:rsid w:val="00BE3C22"/>
    <w:rsid w:val="00C0345E"/>
    <w:rsid w:val="00C21ABE"/>
    <w:rsid w:val="00C31C95"/>
    <w:rsid w:val="00C3483A"/>
    <w:rsid w:val="00C74E9D"/>
    <w:rsid w:val="00C826DD"/>
    <w:rsid w:val="00C82FD3"/>
    <w:rsid w:val="00C92819"/>
    <w:rsid w:val="00CC6B7B"/>
    <w:rsid w:val="00CD2089"/>
    <w:rsid w:val="00D73A67"/>
    <w:rsid w:val="00D861B4"/>
    <w:rsid w:val="00D970A9"/>
    <w:rsid w:val="00DF3845"/>
    <w:rsid w:val="00E33083"/>
    <w:rsid w:val="00E41911"/>
    <w:rsid w:val="00E44B57"/>
    <w:rsid w:val="00E92EEF"/>
    <w:rsid w:val="00EB0B81"/>
    <w:rsid w:val="00EF2368"/>
    <w:rsid w:val="00F24442"/>
    <w:rsid w:val="00F50AE3"/>
    <w:rsid w:val="00F655B7"/>
    <w:rsid w:val="00F656BA"/>
    <w:rsid w:val="00F67CF1"/>
    <w:rsid w:val="00F728AA"/>
    <w:rsid w:val="00F840F0"/>
    <w:rsid w:val="00FB0D0D"/>
    <w:rsid w:val="00FB43B4"/>
    <w:rsid w:val="00FB6B0B"/>
    <w:rsid w:val="00FD43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5268D-4B7B-45B2-91AA-3ACFCBE0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CE440-5A7B-4870-A406-09290A795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2002</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3479 Text of Previous Version (Dec. 16, 2020) - South Carolina Legislature Online</dc:title>
  <dc:creator>Niki Downey</dc:creator>
  <cp:lastModifiedBy>S Wilson</cp:lastModifiedBy>
  <cp:revision>2</cp:revision>
  <cp:lastPrinted>2020-12-09T19:49:00Z</cp:lastPrinted>
  <dcterms:created xsi:type="dcterms:W3CDTF">2020-12-16T20:38:00Z</dcterms:created>
  <dcterms:modified xsi:type="dcterms:W3CDTF">2020-12-16T20:38:00Z</dcterms:modified>
</cp:coreProperties>
</file>