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750" w:rsidRDefault="00AE6750"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3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1D95">
        <w:rPr>
          <w:color w:val="000000" w:themeColor="text1"/>
          <w:u w:color="000000" w:themeColor="text1"/>
        </w:rPr>
        <w:t>TO AMEND SECTIONS 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Pr>
          <w:color w:val="000000" w:themeColor="text1"/>
          <w:u w:color="000000" w:themeColor="text1"/>
        </w:rPr>
        <w:noBreakHyphen/>
        <w:t>38</w:t>
      </w:r>
      <w:r>
        <w:rPr>
          <w:color w:val="000000" w:themeColor="text1"/>
          <w:u w:color="000000" w:themeColor="text1"/>
        </w:rPr>
        <w:noBreakHyphen/>
        <w:t xml:space="preserve">20, </w:t>
      </w:r>
      <w:r w:rsidRPr="00331D95">
        <w:rPr>
          <w:color w:val="000000" w:themeColor="text1"/>
          <w:u w:color="000000" w:themeColor="text1"/>
        </w:rPr>
        <w:t>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r>
      <w:r w:rsidRPr="00331D95">
        <w:rPr>
          <w:color w:val="000000" w:themeColor="text1"/>
          <w:u w:color="000000" w:themeColor="text1"/>
        </w:rPr>
        <w:t>40, AND 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t>50</w:t>
      </w:r>
      <w:r w:rsidR="0051273D">
        <w:rPr>
          <w:color w:val="000000" w:themeColor="text1"/>
          <w:u w:color="000000" w:themeColor="text1"/>
        </w:rPr>
        <w:t xml:space="preserve">,  CODE OF LAWS OF SOUTH CAROLINA, </w:t>
      </w:r>
      <w:r>
        <w:rPr>
          <w:color w:val="000000" w:themeColor="text1"/>
          <w:u w:color="000000" w:themeColor="text1"/>
        </w:rPr>
        <w:t>1976</w:t>
      </w:r>
      <w:r w:rsidR="0051273D">
        <w:rPr>
          <w:color w:val="000000" w:themeColor="text1"/>
          <w:u w:color="000000" w:themeColor="text1"/>
        </w:rPr>
        <w:t xml:space="preserve">, </w:t>
      </w:r>
      <w:r w:rsidRPr="00331D95">
        <w:rPr>
          <w:color w:val="000000" w:themeColor="text1"/>
          <w:u w:color="000000" w:themeColor="text1"/>
        </w:rPr>
        <w:t xml:space="preserve">ALL RELATING TO THE </w:t>
      </w:r>
      <w:r>
        <w:rPr>
          <w:color w:val="000000" w:themeColor="text1"/>
          <w:u w:color="000000" w:themeColor="text1"/>
        </w:rPr>
        <w:t xml:space="preserve">SOUTH CAROLINA </w:t>
      </w:r>
      <w:r w:rsidRPr="00331D95">
        <w:rPr>
          <w:color w:val="000000" w:themeColor="text1"/>
          <w:u w:color="000000" w:themeColor="text1"/>
        </w:rPr>
        <w:t xml:space="preserve">CONTRIBUTION AMONG TORTFEASORS ACT, </w:t>
      </w:r>
      <w:r w:rsidR="0051273D">
        <w:rPr>
          <w:color w:val="000000" w:themeColor="text1"/>
          <w:u w:color="000000" w:themeColor="text1"/>
        </w:rPr>
        <w:t xml:space="preserve">SO AS </w:t>
      </w:r>
      <w:r w:rsidRPr="00331D95">
        <w:rPr>
          <w:color w:val="000000" w:themeColor="text1"/>
          <w:u w:color="000000" w:themeColor="text1"/>
        </w:rPr>
        <w:t xml:space="preserve">TO INCLUDE PERSONS OR ENTITIES FOR </w:t>
      </w:r>
      <w:r>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315" w:rsidRDefault="0005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E0B" w:rsidRDefault="00402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38</w:t>
      </w:r>
      <w:r>
        <w:noBreakHyphen/>
        <w:t>15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38</w:t>
      </w:r>
      <w:r>
        <w:noBreakHyphen/>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 xml:space="preserve">ny </w:t>
      </w:r>
      <w:r w:rsidRPr="00BC3642">
        <w:rPr>
          <w:color w:val="000000" w:themeColor="text1"/>
        </w:rPr>
        <w:t>defendant</w:t>
      </w:r>
      <w:r w:rsidRPr="006F1040">
        <w:rPr>
          <w:color w:val="000000" w:themeColor="text1"/>
        </w:rPr>
        <w:t xml:space="preserve"> who</w:t>
      </w:r>
      <w:r w:rsidRPr="007E1E42">
        <w:t>se conduct is determined to be less than fifty percent of the total fault for the indivisible damages as compared with the total of:</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95516">
        <w:rPr>
          <w:strike/>
        </w:rPr>
        <w:t>(i)</w:t>
      </w:r>
      <w:r>
        <w:rPr>
          <w:u w:val="single"/>
        </w:rPr>
        <w:t>(1)</w:t>
      </w:r>
      <w:r>
        <w:tab/>
      </w:r>
      <w:r w:rsidRPr="007E1E42">
        <w:t xml:space="preserve">the fault of all the </w:t>
      </w:r>
      <w:r w:rsidRPr="00EE2A59">
        <w:rPr>
          <w:strike/>
        </w:rPr>
        <w:t>defendants</w:t>
      </w:r>
      <w:r>
        <w:t xml:space="preserve"> </w:t>
      </w:r>
      <w:r>
        <w:rPr>
          <w:u w:val="single"/>
        </w:rPr>
        <w:t>persons or entities, including defendants and nonparties, regardless of whether the person or entity was, or could have been named, as a party to the suit</w:t>
      </w:r>
      <w:r>
        <w:t xml:space="preserve">; </w:t>
      </w:r>
      <w:r w:rsidRPr="007E1E42">
        <w:t>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95516">
        <w:rPr>
          <w:strike/>
        </w:rPr>
        <w:t>(ii)</w:t>
      </w:r>
      <w:r>
        <w:rPr>
          <w:u w:val="single"/>
        </w:rPr>
        <w:t>(2)</w:t>
      </w:r>
      <w:r w:rsidRPr="00295516">
        <w:tab/>
      </w:r>
      <w:r w:rsidRPr="007E1E42">
        <w:t xml:space="preserve">the fault (comparative negligence), if any, of plaintiff. A </w:t>
      </w:r>
      <w:r w:rsidRPr="00BC3642">
        <w:t>defendant</w:t>
      </w:r>
      <w:r w:rsidRPr="007E1E42">
        <w:t xml:space="preserve"> </w:t>
      </w:r>
      <w:r w:rsidRPr="00BC3642">
        <w:t>whose</w:t>
      </w:r>
      <w:r w:rsidRPr="007E1E42">
        <w:t xml:space="preserve"> conduct is determined to be less than fifty percent of the total fault shall only be liable for that percentage of the indivisible damages determined by the jury or trier of fact.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t>(C)</w:t>
      </w:r>
      <w:r>
        <w:tab/>
      </w:r>
      <w:r w:rsidRPr="007E1E42">
        <w:t>The jury, or the court if there is no jury, shall:</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(1)</w:t>
      </w:r>
      <w:r>
        <w:tab/>
      </w:r>
      <w:r w:rsidRPr="007E1E42">
        <w:t>specify the amount of damages;</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w:t>
      </w:r>
      <w:r w:rsidRPr="008A2E75">
        <w:rPr>
          <w:strike/>
        </w:rPr>
        <w:t>above</w:t>
      </w:r>
      <w:r w:rsidRPr="006F1040">
        <w:t xml:space="preser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w:t>
      </w:r>
      <w:r w:rsidRPr="008A2E75">
        <w:rPr>
          <w:strike/>
        </w:rPr>
        <w:t>below</w:t>
      </w:r>
      <w:r w:rsidRPr="006F1040">
        <w:t xml:space="preserve"> the percentage of liability </w:t>
      </w:r>
      <w:r w:rsidRPr="006F1040">
        <w:rPr>
          <w:strike/>
        </w:rPr>
        <w:t>that</w:t>
      </w:r>
      <w:r w:rsidRPr="006F1040">
        <w:t xml:space="preserve"> </w:t>
      </w:r>
      <w:r w:rsidRPr="006F1040">
        <w:rPr>
          <w:u w:val="single"/>
        </w:rPr>
        <w:t xml:space="preserve">allocated to each person or entity </w:t>
      </w:r>
      <w:r>
        <w:rPr>
          <w:u w:val="single"/>
        </w:rPr>
        <w:t>that’s</w:t>
      </w:r>
      <w:r w:rsidRPr="006F1040">
        <w:rPr>
          <w:u w:val="single"/>
        </w:rPr>
        <w:t xml:space="preserve"> fault</w:t>
      </w:r>
      <w:r w:rsidRPr="006F1040">
        <w:t xml:space="preserve"> proximately caused the indivisible injury, death, damage to property, or economic loss from tortious conduct, as determined by item (1) </w:t>
      </w:r>
      <w:r w:rsidRPr="008350AF">
        <w:rPr>
          <w:strike/>
        </w:rPr>
        <w:t>above</w:t>
      </w:r>
      <w:r w:rsidRPr="006F1040">
        <w:t xml:space="preser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w:t>
      </w:r>
      <w:r w:rsidRPr="003A4653">
        <w:t>,</w:t>
      </w:r>
      <w:r w:rsidRPr="006F1040">
        <w:t xml:space="preserve"> any fault of the plaintiff, as determined by item (2) </w:t>
      </w:r>
      <w:r w:rsidRPr="008350AF">
        <w:rPr>
          <w:strike/>
        </w:rPr>
        <w:t>above</w:t>
      </w:r>
      <w:r w:rsidRPr="006F1040">
        <w:t>,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rsidR="00402E0B" w:rsidRPr="006F104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(c)(i)</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Pr>
          <w:u w:val="single"/>
        </w:rPr>
        <w:t>(ii)</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that is possible under the circumstances, together with a brief statement of the filer</w:t>
      </w:r>
      <w:r w:rsidRPr="0066221B">
        <w:rPr>
          <w:u w:val="single"/>
        </w:rPr>
        <w:t>’</w:t>
      </w:r>
      <w:r>
        <w:rPr>
          <w:u w:val="single"/>
        </w:rPr>
        <w:t>s good faith belief that the nonparty or parties were at fault.</w:t>
      </w:r>
    </w:p>
    <w:p w:rsidR="00402E0B" w:rsidRPr="001C3384"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384">
        <w:tab/>
      </w:r>
      <w:r w:rsidRPr="001C3384">
        <w:tab/>
      </w:r>
      <w:r w:rsidRPr="001C3384">
        <w:tab/>
      </w:r>
      <w:r w:rsidRPr="001C3384">
        <w:tab/>
      </w:r>
      <w:r>
        <w:rPr>
          <w:u w:val="single"/>
        </w:rPr>
        <w:t>(iii)</w:t>
      </w:r>
      <w:r w:rsidRPr="001C3384">
        <w:tab/>
      </w:r>
      <w:r>
        <w:rPr>
          <w:u w:val="single"/>
        </w:rPr>
        <w:t>Allocations of the percentage of fault of nonparties shall only be used in the determination of the percentages of fault of named parties.</w:t>
      </w:r>
    </w:p>
    <w:p w:rsidR="00402E0B" w:rsidRPr="00B449D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Pr>
          <w:u w:val="single"/>
        </w:rPr>
        <w:t>(iv)</w:t>
      </w:r>
      <w:r w:rsidRPr="00BF1FEF">
        <w:tab/>
      </w:r>
      <w:r>
        <w:rPr>
          <w:u w:val="single"/>
        </w:rPr>
        <w:t>If fault is allocated to nonparties by the fact finder, then those findings of fault shall not subject a nonparty to liability i</w:t>
      </w:r>
      <w:r w:rsidRPr="00B449D0">
        <w:rPr>
          <w:u w:val="single"/>
        </w:rPr>
        <w:t>n the instant action</w:t>
      </w:r>
      <w:r>
        <w:rPr>
          <w:u w:val="single"/>
        </w:rPr>
        <w:t>, and</w:t>
      </w:r>
      <w:r w:rsidRPr="00B449D0">
        <w:rPr>
          <w:u w:val="single"/>
        </w:rPr>
        <w:t xml:space="preserve"> such findings</w:t>
      </w:r>
      <w:r>
        <w:rPr>
          <w:u w:val="single"/>
        </w:rPr>
        <w:t xml:space="preserve"> may not</w:t>
      </w:r>
      <w:r w:rsidRPr="00B449D0">
        <w:rPr>
          <w:u w:val="single"/>
        </w:rPr>
        <w:t xml:space="preserve"> be introduced as evidence of liability in any action.</w:t>
      </w:r>
    </w:p>
    <w:p w:rsidR="00402E0B" w:rsidRPr="00B449D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t xml:space="preserve"> </w:t>
      </w:r>
      <w:r w:rsidRPr="00B449D0">
        <w:rPr>
          <w:u w:val="single"/>
        </w:rPr>
        <w:t>to the action</w:t>
      </w:r>
      <w:r w:rsidRPr="00295516">
        <w:t>,</w:t>
      </w:r>
      <w:r w:rsidRPr="00B449D0">
        <w:t xml:space="preserve"> contributed to the alleged injury or damages and/or may be liable for any or all of the damages alleged by any other party.</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38</w:t>
      </w:r>
      <w:r>
        <w:noBreakHyphen/>
        <w:t>20(A)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E1E42">
        <w:t>(A)</w:t>
      </w:r>
      <w:r w:rsidR="00555248">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15</w:t>
      </w:r>
      <w:r>
        <w:noBreakHyphen/>
        <w:t>38</w:t>
      </w:r>
      <w:r>
        <w:noBreakHyphen/>
        <w:t>40(B)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1E42">
        <w:t>(B)</w:t>
      </w:r>
      <w:r>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noBreakHyphen/>
      </w:r>
      <w:r w:rsidRPr="007E1E42">
        <w:t>38</w:t>
      </w:r>
      <w:r>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15</w:t>
      </w:r>
      <w:r>
        <w:noBreakHyphen/>
        <w:t>38</w:t>
      </w:r>
      <w:r>
        <w:noBreakHyphen/>
        <w:t>50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38</w:t>
      </w:r>
      <w:r>
        <w:noBreakHyphen/>
        <w:t>50.</w:t>
      </w:r>
      <w:r>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Pr>
          <w:u w:val="single"/>
        </w:rPr>
        <w:noBreakHyphen/>
        <w:t>38</w:t>
      </w:r>
      <w:r>
        <w:rPr>
          <w:u w:val="single"/>
        </w:rPr>
        <w:noBreakHyphen/>
        <w:t>15(C),</w:t>
      </w:r>
      <w:r>
        <w:t xml:space="preserve"> </w:t>
      </w:r>
      <w:r w:rsidRPr="007E1E42">
        <w:t>whichever is the greater; 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it discharges the tortfeasor to whom it is given from all liability for contribution to any other tortfeasor.</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315" w:rsidRDefault="0005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2E0B">
        <w:t>6</w:t>
      </w:r>
      <w:r>
        <w:t>.</w:t>
      </w:r>
      <w:r>
        <w:tab/>
        <w:t>This act takes effect upon approval by the Governor.</w:t>
      </w:r>
    </w:p>
    <w:p w:rsidR="00036E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6750" w:rsidRDefault="00AE6750" w:rsidP="00AE6750">
      <w:pPr>
        <w:suppressAutoHyphens/>
      </w:pPr>
    </w:p>
    <w:sectPr w:rsidR="00AE6750" w:rsidSect="00AE67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315" w:rsidRDefault="00052315" w:rsidP="009F0C77">
      <w:r>
        <w:separator/>
      </w:r>
    </w:p>
  </w:endnote>
  <w:endnote w:type="continuationSeparator" w:id="0">
    <w:p w:rsidR="00052315" w:rsidRDefault="00052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7F37A8-8E5A-49E9-8A45-4C349AE01541}"/>
    <w:embedBold r:id="rId2" w:fontKey="{FADA46E3-D974-4E0E-B84E-8B035C354DB3}"/>
  </w:font>
  <w:font w:name="Calibri">
    <w:panose1 w:val="020F0502020204030204"/>
    <w:charset w:val="00"/>
    <w:family w:val="swiss"/>
    <w:pitch w:val="variable"/>
    <w:sig w:usb0="E0002EFF" w:usb1="C000247B" w:usb2="00000009" w:usb3="00000000" w:csb0="000001FF" w:csb1="00000000"/>
    <w:embedRegular r:id="rId3" w:fontKey="{4C5A9330-FEC9-409F-99F2-4D31DAEACDD3}"/>
  </w:font>
  <w:font w:name="Segoe UI">
    <w:panose1 w:val="020B0502040204020203"/>
    <w:charset w:val="00"/>
    <w:family w:val="swiss"/>
    <w:pitch w:val="variable"/>
    <w:sig w:usb0="E4002EFF" w:usb1="C000E47F" w:usb2="00000009" w:usb3="00000000" w:csb0="000001FF" w:csb1="00000000"/>
    <w:embedRegular r:id="rId4" w:fontKey="{DC55833D-B8AE-478F-BC18-C0E697465885}"/>
  </w:font>
  <w:font w:name="Cambria">
    <w:panose1 w:val="02040503050406030204"/>
    <w:charset w:val="00"/>
    <w:family w:val="roman"/>
    <w:pitch w:val="variable"/>
    <w:sig w:usb0="E00006FF" w:usb1="420024FF" w:usb2="02000000" w:usb3="00000000" w:csb0="0000019F" w:csb1="00000000"/>
    <w:embedRegular r:id="rId5" w:fontKey="{C9A71A83-7B33-481C-AD4A-D312EB9FB5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F2" w:rsidRPr="00AE6750" w:rsidRDefault="00AE6750" w:rsidP="00AE6750">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315" w:rsidRDefault="00052315" w:rsidP="009F0C77">
      <w:r>
        <w:separator/>
      </w:r>
    </w:p>
  </w:footnote>
  <w:footnote w:type="continuationSeparator" w:id="0">
    <w:p w:rsidR="00052315" w:rsidRDefault="00052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4AHB21"/>
    <w:docVar w:name="CoverBillType" w:val="b"/>
    <w:docVar w:name="DocPath" w:val="L:\Council\bills\BH\7404AHB21.DOCX"/>
    <w:docVar w:name="dvBillNumber" w:val="3750"/>
    <w:docVar w:name="dvBillNumberPrefix" w:val="H. "/>
    <w:docVar w:name="dvOriginalBody" w:val="House"/>
    <w:docVar w:name="dvSteno" w:val="BH"/>
    <w:docVar w:name="NameofBody" w:val="h"/>
    <w:docVar w:name="vGroup2" w:val="Council"/>
  </w:docVars>
  <w:rsids>
    <w:rsidRoot w:val="00052315"/>
    <w:rsid w:val="00011869"/>
    <w:rsid w:val="00015CD6"/>
    <w:rsid w:val="00036EF2"/>
    <w:rsid w:val="0005231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0A8"/>
    <w:rsid w:val="00325348"/>
    <w:rsid w:val="0032732C"/>
    <w:rsid w:val="00336AD0"/>
    <w:rsid w:val="0037079A"/>
    <w:rsid w:val="003C4DAB"/>
    <w:rsid w:val="003D01E8"/>
    <w:rsid w:val="003E5288"/>
    <w:rsid w:val="003F6D79"/>
    <w:rsid w:val="00402E0B"/>
    <w:rsid w:val="0041760A"/>
    <w:rsid w:val="00417C01"/>
    <w:rsid w:val="004403BD"/>
    <w:rsid w:val="00461441"/>
    <w:rsid w:val="004809EE"/>
    <w:rsid w:val="004E7D54"/>
    <w:rsid w:val="0051273D"/>
    <w:rsid w:val="005273C6"/>
    <w:rsid w:val="00530A69"/>
    <w:rsid w:val="00545593"/>
    <w:rsid w:val="00555248"/>
    <w:rsid w:val="00556EBF"/>
    <w:rsid w:val="00577C6C"/>
    <w:rsid w:val="005A62FE"/>
    <w:rsid w:val="005C2FE2"/>
    <w:rsid w:val="005E2BC9"/>
    <w:rsid w:val="00605102"/>
    <w:rsid w:val="006215AA"/>
    <w:rsid w:val="006913C9"/>
    <w:rsid w:val="0069470D"/>
    <w:rsid w:val="006D58AA"/>
    <w:rsid w:val="00734F00"/>
    <w:rsid w:val="00736959"/>
    <w:rsid w:val="007A70AE"/>
    <w:rsid w:val="008350AF"/>
    <w:rsid w:val="008362E8"/>
    <w:rsid w:val="0085786E"/>
    <w:rsid w:val="00866DFA"/>
    <w:rsid w:val="008A1768"/>
    <w:rsid w:val="008A2E75"/>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75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644"/>
    <w:rsid w:val="00DF3845"/>
    <w:rsid w:val="00E41911"/>
    <w:rsid w:val="00E44B57"/>
    <w:rsid w:val="00E92EEF"/>
    <w:rsid w:val="00E93E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6DF0A-1A8C-46E7-A8BB-E4F56B6B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E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B66AA-AE8E-4319-8D9D-A4779DAF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1473</Words>
  <Characters>7442</Characters>
  <Application>Microsoft Office Word</Application>
  <DocSecurity>0</DocSecurity>
  <Lines>173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3750 Text of Previous Version (Jan. 27, 2021) - South Carolina Legislature Online</dc:title>
  <dc:creator>Bonnie Huth</dc:creator>
  <cp:lastModifiedBy>S Wilson</cp:lastModifiedBy>
  <cp:revision>2</cp:revision>
  <cp:lastPrinted>2021-01-27T17:07:00Z</cp:lastPrinted>
  <dcterms:created xsi:type="dcterms:W3CDTF">2021-01-27T21:54:00Z</dcterms:created>
  <dcterms:modified xsi:type="dcterms:W3CDTF">2021-01-27T21:54:00Z</dcterms:modified>
</cp:coreProperties>
</file>