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22848" w14:textId="77777777" w:rsidR="00335253" w:rsidRPr="00522CE0" w:rsidRDefault="00335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8F2A1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236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EC3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AE4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41C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4C3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15B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07603C" w14:textId="77777777" w:rsidR="00522CE0" w:rsidRPr="008F023B" w:rsidRDefault="00522CE0" w:rsidP="00335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1790">
        <w:rPr>
          <w:rFonts w:eastAsia="Times New Roman"/>
          <w:b/>
          <w:sz w:val="30"/>
          <w:szCs w:val="30"/>
        </w:rPr>
        <w:t>BILL</w:t>
      </w:r>
    </w:p>
    <w:p w14:paraId="4D0383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813E7" w14:textId="6D9A4531" w:rsidR="00522CE0" w:rsidRPr="00522CE0" w:rsidRDefault="00F2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8</w:t>
      </w:r>
      <w:r w:rsidR="00681C13">
        <w:noBreakHyphen/>
      </w:r>
      <w:r>
        <w:t>13</w:t>
      </w:r>
      <w:r w:rsidR="00681C13">
        <w:noBreakHyphen/>
      </w:r>
      <w:r>
        <w:t>540(D) OF THE 1976 CODE, RELATING TO ETHICS INVESTIGATIONS AND HEARINGS, TO REVISE THE ETHICS COMMITTEE</w:t>
      </w:r>
      <w:r w:rsidR="00832E31">
        <w:t>’</w:t>
      </w:r>
      <w:r>
        <w:t>S POSSIBLE ACTIONS AFTER REVIEWING THE STATE ETHICS COMMISSION</w:t>
      </w:r>
      <w:r w:rsidRPr="001302A1">
        <w:t>’</w:t>
      </w:r>
      <w:r>
        <w:t>S RECOMMENDATIONS AND RELEVANT EVIDENCE.</w:t>
      </w:r>
    </w:p>
    <w:p w14:paraId="6E8045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0894F4" w14:textId="77777777" w:rsidR="00A71790" w:rsidRDefault="00A7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474376" w14:textId="77777777" w:rsidR="00A71790" w:rsidRDefault="00A7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3D225" w14:textId="3AE1025B" w:rsidR="00F254AE" w:rsidRPr="00490F09" w:rsidRDefault="00A71790"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254AE" w:rsidRPr="00490F09">
        <w:rPr>
          <w:color w:val="000000" w:themeColor="text1"/>
          <w:u w:color="000000" w:themeColor="text1"/>
        </w:rPr>
        <w:t>Section 8</w:t>
      </w:r>
      <w:r w:rsidR="00681C13">
        <w:rPr>
          <w:color w:val="000000" w:themeColor="text1"/>
          <w:u w:color="000000" w:themeColor="text1"/>
        </w:rPr>
        <w:noBreakHyphen/>
      </w:r>
      <w:r w:rsidR="00F254AE" w:rsidRPr="00490F09">
        <w:rPr>
          <w:color w:val="000000" w:themeColor="text1"/>
          <w:u w:color="000000" w:themeColor="text1"/>
        </w:rPr>
        <w:t>13</w:t>
      </w:r>
      <w:r w:rsidR="00681C13">
        <w:rPr>
          <w:color w:val="000000" w:themeColor="text1"/>
          <w:u w:color="000000" w:themeColor="text1"/>
        </w:rPr>
        <w:noBreakHyphen/>
      </w:r>
      <w:r w:rsidR="00F254AE" w:rsidRPr="00490F09">
        <w:rPr>
          <w:color w:val="000000" w:themeColor="text1"/>
          <w:u w:color="000000" w:themeColor="text1"/>
        </w:rPr>
        <w:t>540(D) of the 1976 Code is amended to read:</w:t>
      </w:r>
    </w:p>
    <w:p w14:paraId="42D1ABD5"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B9F4C8" w14:textId="385832DE"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t>“(D)(1)</w:t>
      </w:r>
      <w:r w:rsidRPr="00490F09">
        <w:rPr>
          <w:color w:val="000000" w:themeColor="text1"/>
          <w:u w:color="000000" w:themeColor="text1"/>
        </w:rPr>
        <w:tab/>
        <w:t>Upon receipt of the commission</w:t>
      </w:r>
      <w:r w:rsidRPr="001302A1">
        <w:rPr>
          <w:color w:val="000000" w:themeColor="text1"/>
          <w:u w:color="000000" w:themeColor="text1"/>
        </w:rPr>
        <w:t>’</w:t>
      </w:r>
      <w:r w:rsidRPr="00490F09">
        <w:rPr>
          <w:color w:val="000000" w:themeColor="text1"/>
          <w:u w:color="000000" w:themeColor="text1"/>
        </w:rPr>
        <w:t>s report, the appropriate ethics committee</w:t>
      </w:r>
      <w:r>
        <w:rPr>
          <w:color w:val="000000" w:themeColor="text1"/>
          <w:u w:val="single" w:color="000000" w:themeColor="text1"/>
        </w:rPr>
        <w:t>,</w:t>
      </w:r>
      <w:r w:rsidRPr="00490F09">
        <w:rPr>
          <w:color w:val="000000" w:themeColor="text1"/>
          <w:u w:color="000000" w:themeColor="text1"/>
        </w:rPr>
        <w:t xml:space="preserve"> </w:t>
      </w:r>
      <w:r w:rsidRPr="00B567DE">
        <w:rPr>
          <w:strike/>
          <w:color w:val="000000" w:themeColor="text1"/>
          <w:u w:color="000000" w:themeColor="text1"/>
        </w:rPr>
        <w:t xml:space="preserve">may </w:t>
      </w:r>
      <w:r w:rsidRPr="00490F09">
        <w:rPr>
          <w:strike/>
          <w:color w:val="000000" w:themeColor="text1"/>
          <w:u w:color="000000" w:themeColor="text1"/>
        </w:rPr>
        <w:t>concur or nonconcur with the commission</w:t>
      </w:r>
      <w:r w:rsidRPr="001302A1">
        <w:rPr>
          <w:strike/>
          <w:color w:val="000000" w:themeColor="text1"/>
          <w:u w:color="000000" w:themeColor="text1"/>
        </w:rPr>
        <w:t>’</w:t>
      </w:r>
      <w:r w:rsidRPr="00490F09">
        <w:rPr>
          <w:strike/>
          <w:color w:val="000000" w:themeColor="text1"/>
          <w:u w:color="000000" w:themeColor="text1"/>
        </w:rPr>
        <w:t>s recommendation, or</w:t>
      </w:r>
      <w:r w:rsidRPr="00490F09">
        <w:rPr>
          <w:color w:val="000000" w:themeColor="text1"/>
          <w:u w:color="000000" w:themeColor="text1"/>
        </w:rPr>
        <w:t xml:space="preserve"> within forty</w:t>
      </w:r>
      <w:r w:rsidR="00681C13">
        <w:rPr>
          <w:color w:val="000000" w:themeColor="text1"/>
          <w:u w:color="000000" w:themeColor="text1"/>
        </w:rPr>
        <w:noBreakHyphen/>
      </w:r>
      <w:r w:rsidRPr="00490F09">
        <w:rPr>
          <w:color w:val="000000" w:themeColor="text1"/>
          <w:u w:color="000000" w:themeColor="text1"/>
        </w:rPr>
        <w:t>five days from the committee</w:t>
      </w:r>
      <w:r w:rsidRPr="001302A1">
        <w:rPr>
          <w:color w:val="000000" w:themeColor="text1"/>
          <w:u w:color="000000" w:themeColor="text1"/>
        </w:rPr>
        <w:t>’</w:t>
      </w:r>
      <w:r w:rsidRPr="00490F09">
        <w:rPr>
          <w:color w:val="000000" w:themeColor="text1"/>
          <w:u w:color="000000" w:themeColor="text1"/>
        </w:rPr>
        <w:t xml:space="preserve">s receipt of the report, </w:t>
      </w:r>
      <w:r>
        <w:rPr>
          <w:color w:val="000000" w:themeColor="text1"/>
          <w:u w:val="single" w:color="000000" w:themeColor="text1"/>
        </w:rPr>
        <w:t>may</w:t>
      </w:r>
      <w:r>
        <w:rPr>
          <w:color w:val="000000" w:themeColor="text1"/>
          <w:u w:color="000000" w:themeColor="text1"/>
        </w:rPr>
        <w:t xml:space="preserve"> </w:t>
      </w:r>
      <w:r w:rsidRPr="00490F09">
        <w:rPr>
          <w:color w:val="000000" w:themeColor="text1"/>
          <w:u w:color="000000" w:themeColor="text1"/>
        </w:rPr>
        <w:t>request the commission to continue the investigation in order to review information previously received or consider additional matters not considered by the commission.</w:t>
      </w:r>
    </w:p>
    <w:p w14:paraId="78F04D6E"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053109">
        <w:rPr>
          <w:color w:val="000000" w:themeColor="text1"/>
          <w:u w:color="000000" w:themeColor="text1"/>
        </w:rPr>
        <w:t>(2)</w:t>
      </w:r>
      <w:r>
        <w:rPr>
          <w:color w:val="000000" w:themeColor="text1"/>
          <w:u w:color="000000" w:themeColor="text1"/>
        </w:rPr>
        <w:tab/>
      </w:r>
      <w:r w:rsidRPr="00490F09">
        <w:rPr>
          <w:strike/>
          <w:color w:val="000000" w:themeColor="text1"/>
          <w:u w:color="000000" w:themeColor="text1"/>
        </w:rPr>
        <w:t>If, after reviewing the commission</w:t>
      </w:r>
      <w:r w:rsidRPr="001302A1">
        <w:rPr>
          <w:strike/>
          <w:color w:val="000000" w:themeColor="text1"/>
          <w:u w:color="000000" w:themeColor="text1"/>
        </w:rPr>
        <w:t>’</w:t>
      </w:r>
      <w:r w:rsidRPr="00490F09">
        <w:rPr>
          <w:strike/>
          <w:color w:val="000000" w:themeColor="text1"/>
          <w:u w:color="000000" w:themeColor="text1"/>
        </w:rPr>
        <w:t>s recommendation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recommendation that probable cause existed.</w:t>
      </w:r>
    </w:p>
    <w:p w14:paraId="35D77EAE" w14:textId="3B22B311"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(3)</w:t>
      </w:r>
      <w:r w:rsidRPr="00B567DE">
        <w:rPr>
          <w:color w:val="000000" w:themeColor="text1"/>
        </w:rPr>
        <w:tab/>
      </w:r>
      <w:r w:rsidRPr="00490F09">
        <w:rPr>
          <w:color w:val="000000" w:themeColor="text1"/>
          <w:u w:color="000000" w:themeColor="text1"/>
        </w:rPr>
        <w:t>If, after reviewing the commission</w:t>
      </w:r>
      <w:r w:rsidRPr="001302A1">
        <w:rPr>
          <w:color w:val="000000" w:themeColor="text1"/>
          <w:u w:color="000000" w:themeColor="text1"/>
        </w:rPr>
        <w:t>’</w:t>
      </w:r>
      <w:r w:rsidRPr="00490F09">
        <w:rPr>
          <w:color w:val="000000" w:themeColor="text1"/>
          <w:u w:color="000000" w:themeColor="text1"/>
        </w:rPr>
        <w:t>s recommendation and relevant evidence, the ethics committee determines that the respondent has committed only a technical violation pursuant to Section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1170 or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1372, the provisions of the appropriate section apply.</w:t>
      </w:r>
    </w:p>
    <w:p w14:paraId="2723B90C" w14:textId="468DF492"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lastRenderedPageBreak/>
        <w:tab/>
      </w:r>
      <w:r w:rsidRPr="00490F09">
        <w:rPr>
          <w:color w:val="000000" w:themeColor="text1"/>
          <w:u w:color="000000" w:themeColor="text1"/>
        </w:rPr>
        <w:tab/>
      </w:r>
      <w:r w:rsidRPr="00490F09">
        <w:rPr>
          <w:strike/>
          <w:color w:val="000000" w:themeColor="text1"/>
          <w:u w:color="000000" w:themeColor="text1"/>
        </w:rPr>
        <w:t>(4)</w:t>
      </w:r>
      <w:r w:rsidRPr="00490F09">
        <w:rPr>
          <w:color w:val="000000" w:themeColor="text1"/>
          <w:u w:val="single" w:color="000000" w:themeColor="text1"/>
        </w:rPr>
        <w:t>(3)</w:t>
      </w:r>
      <w:r>
        <w:rPr>
          <w:color w:val="000000" w:themeColor="text1"/>
          <w:u w:val="single" w:color="000000" w:themeColor="text1"/>
        </w:rPr>
        <w:t>(a)</w:t>
      </w:r>
      <w:r>
        <w:rPr>
          <w:color w:val="000000" w:themeColor="text1"/>
        </w:rPr>
        <w:tab/>
      </w:r>
      <w:r w:rsidRPr="00490F09">
        <w:rPr>
          <w:strike/>
          <w:color w:val="000000" w:themeColor="text1"/>
          <w:u w:color="000000" w:themeColor="text1"/>
        </w:rPr>
        <w:t>If,</w:t>
      </w:r>
      <w:r>
        <w:rPr>
          <w:strike/>
          <w:color w:val="000000" w:themeColor="text1"/>
          <w:u w:color="000000" w:themeColor="text1"/>
        </w:rPr>
        <w:t xml:space="preserve"> after</w:t>
      </w:r>
      <w:r w:rsidRPr="00490F09">
        <w:rPr>
          <w:color w:val="000000" w:themeColor="text1"/>
          <w:u w:color="000000" w:themeColor="text1"/>
        </w:rPr>
        <w:t xml:space="preserve"> </w:t>
      </w:r>
      <w:r w:rsidRPr="00585EE8">
        <w:rPr>
          <w:color w:val="000000" w:themeColor="text1"/>
          <w:u w:val="single" w:color="000000" w:themeColor="text1"/>
        </w:rPr>
        <w:t>After</w:t>
      </w:r>
      <w:r w:rsidRPr="00490F09">
        <w:rPr>
          <w:color w:val="000000" w:themeColor="text1"/>
          <w:u w:color="000000" w:themeColor="text1"/>
        </w:rPr>
        <w:t xml:space="preserve"> reviewing the commission</w:t>
      </w:r>
      <w:r w:rsidRPr="001302A1">
        <w:rPr>
          <w:color w:val="000000" w:themeColor="text1"/>
          <w:u w:color="000000" w:themeColor="text1"/>
        </w:rPr>
        <w:t>’</w:t>
      </w:r>
      <w:r w:rsidRPr="00490F09">
        <w:rPr>
          <w:color w:val="000000" w:themeColor="text1"/>
          <w:u w:color="000000" w:themeColor="text1"/>
        </w:rPr>
        <w:t>s recommendation and relevant evidence, the ethics committee</w:t>
      </w:r>
      <w:r w:rsidR="00D14F32">
        <w:rPr>
          <w:color w:val="000000" w:themeColor="text1"/>
          <w:u w:val="single" w:color="000000" w:themeColor="text1"/>
        </w:rPr>
        <w:t>,</w:t>
      </w:r>
      <w:r w:rsidRPr="00490F09">
        <w:rPr>
          <w:color w:val="000000" w:themeColor="text1"/>
          <w:u w:color="000000" w:themeColor="text1"/>
        </w:rPr>
        <w:t xml:space="preserve"> </w:t>
      </w:r>
      <w:r w:rsidRPr="00490F09">
        <w:rPr>
          <w:strike/>
          <w:color w:val="000000" w:themeColor="text1"/>
          <w:u w:color="000000" w:themeColor="text1"/>
        </w:rPr>
        <w:t>determines that there is competent and substantial evidence that a violation of this chapter or of Chapter 17, Title 2 has occurred, except for a technical violation of Section 8</w:t>
      </w:r>
      <w:r w:rsidR="00681C13">
        <w:rPr>
          <w:strike/>
          <w:color w:val="000000" w:themeColor="text1"/>
          <w:u w:color="000000" w:themeColor="text1"/>
        </w:rPr>
        <w:noBreakHyphen/>
      </w:r>
      <w:r w:rsidRPr="00490F09">
        <w:rPr>
          <w:strike/>
          <w:color w:val="000000" w:themeColor="text1"/>
          <w:u w:color="000000" w:themeColor="text1"/>
        </w:rPr>
        <w:t>13</w:t>
      </w:r>
      <w:r w:rsidR="00681C13">
        <w:rPr>
          <w:strike/>
          <w:color w:val="000000" w:themeColor="text1"/>
          <w:u w:color="000000" w:themeColor="text1"/>
        </w:rPr>
        <w:noBreakHyphen/>
      </w:r>
      <w:r w:rsidRPr="00490F09">
        <w:rPr>
          <w:strike/>
          <w:color w:val="000000" w:themeColor="text1"/>
          <w:u w:color="000000" w:themeColor="text1"/>
        </w:rPr>
        <w:t>1170 or 8</w:t>
      </w:r>
      <w:r w:rsidR="00681C13">
        <w:rPr>
          <w:strike/>
          <w:color w:val="000000" w:themeColor="text1"/>
          <w:u w:color="000000" w:themeColor="text1"/>
        </w:rPr>
        <w:noBreakHyphen/>
      </w:r>
      <w:r w:rsidRPr="00490F09">
        <w:rPr>
          <w:strike/>
          <w:color w:val="000000" w:themeColor="text1"/>
          <w:u w:color="000000" w:themeColor="text1"/>
        </w:rPr>
        <w:t>13</w:t>
      </w:r>
      <w:r w:rsidR="00681C13">
        <w:rPr>
          <w:strike/>
          <w:color w:val="000000" w:themeColor="text1"/>
          <w:u w:color="000000" w:themeColor="text1"/>
        </w:rPr>
        <w:noBreakHyphen/>
      </w:r>
      <w:r w:rsidRPr="00490F09">
        <w:rPr>
          <w:strike/>
          <w:color w:val="000000" w:themeColor="text1"/>
          <w:u w:color="000000" w:themeColor="text1"/>
        </w:rPr>
        <w:t>1372, the committee</w:t>
      </w:r>
      <w:r w:rsidRPr="00257F29">
        <w:rPr>
          <w:strike/>
          <w:color w:val="000000" w:themeColor="text1"/>
          <w:u w:color="000000" w:themeColor="text1"/>
        </w:rPr>
        <w:t xml:space="preserve"> shall</w:t>
      </w:r>
      <w:r w:rsidRPr="00490F09">
        <w:rPr>
          <w:color w:val="000000" w:themeColor="text1"/>
          <w:u w:color="000000" w:themeColor="text1"/>
        </w:rPr>
        <w:t xml:space="preserve"> </w:t>
      </w:r>
      <w:r w:rsidRPr="00490F09">
        <w:rPr>
          <w:color w:val="000000" w:themeColor="text1"/>
          <w:u w:val="single" w:color="000000" w:themeColor="text1"/>
        </w:rPr>
        <w:t>except as otherwise provided in item (2) of this subsection</w:t>
      </w:r>
      <w:r w:rsidRPr="00053109">
        <w:rPr>
          <w:color w:val="000000" w:themeColor="text1"/>
          <w:u w:color="000000" w:themeColor="text1"/>
        </w:rPr>
        <w:t>,</w:t>
      </w:r>
      <w:r w:rsidRPr="00490F09">
        <w:rPr>
          <w:color w:val="000000" w:themeColor="text1"/>
          <w:u w:color="000000" w:themeColor="text1"/>
        </w:rPr>
        <w:t xml:space="preserve"> </w:t>
      </w:r>
      <w:r w:rsidRPr="00490F09">
        <w:rPr>
          <w:strike/>
          <w:color w:val="000000" w:themeColor="text1"/>
          <w:u w:color="000000" w:themeColor="text1"/>
        </w:rPr>
        <w:t>as appropriate</w:t>
      </w:r>
      <w:r>
        <w:rPr>
          <w:color w:val="000000" w:themeColor="text1"/>
          <w:u w:color="000000" w:themeColor="text1"/>
        </w:rPr>
        <w:t xml:space="preserve"> </w:t>
      </w:r>
      <w:r>
        <w:rPr>
          <w:color w:val="000000" w:themeColor="text1"/>
          <w:u w:val="single" w:color="000000" w:themeColor="text1"/>
        </w:rPr>
        <w:t>shall</w:t>
      </w:r>
      <w:r w:rsidRPr="00490F09">
        <w:rPr>
          <w:color w:val="000000" w:themeColor="text1"/>
          <w:u w:color="000000" w:themeColor="text1"/>
        </w:rPr>
        <w:t>:</w:t>
      </w:r>
    </w:p>
    <w:p w14:paraId="207EC10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147C">
        <w:rPr>
          <w:strike/>
          <w:color w:val="000000" w:themeColor="text1"/>
          <w:u w:color="000000" w:themeColor="text1"/>
        </w:rPr>
        <w:t>(a)</w:t>
      </w:r>
      <w:r>
        <w:rPr>
          <w:color w:val="000000" w:themeColor="text1"/>
          <w:u w:val="single" w:color="000000" w:themeColor="text1"/>
        </w:rPr>
        <w:t>(i)</w:t>
      </w:r>
      <w:r>
        <w:rPr>
          <w:color w:val="000000" w:themeColor="text1"/>
          <w:u w:color="000000" w:themeColor="text1"/>
        </w:rPr>
        <w:tab/>
      </w:r>
      <w:r w:rsidRPr="00490F09">
        <w:rPr>
          <w:color w:val="000000" w:themeColor="text1"/>
          <w:u w:color="000000" w:themeColor="text1"/>
        </w:rPr>
        <w:t>render an advisory opinion to the respondent and require the respondent</w:t>
      </w:r>
      <w:r w:rsidRPr="001302A1">
        <w:rPr>
          <w:color w:val="000000" w:themeColor="text1"/>
          <w:u w:color="000000" w:themeColor="text1"/>
        </w:rPr>
        <w:t>’</w:t>
      </w:r>
      <w:r w:rsidRPr="00490F09">
        <w:rPr>
          <w:color w:val="000000" w:themeColor="text1"/>
          <w:u w:color="000000" w:themeColor="text1"/>
        </w:rPr>
        <w:t xml:space="preserve">s compliance within a reasonable time; </w:t>
      </w:r>
      <w:r w:rsidRPr="00E1639F">
        <w:rPr>
          <w:strike/>
          <w:color w:val="000000" w:themeColor="text1"/>
          <w:u w:color="000000" w:themeColor="text1"/>
        </w:rPr>
        <w:t>or</w:t>
      </w:r>
    </w:p>
    <w:p w14:paraId="39C0D256" w14:textId="77777777" w:rsidR="00F254AE"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90F09">
        <w:rPr>
          <w:color w:val="000000" w:themeColor="text1"/>
          <w:u w:color="000000" w:themeColor="text1"/>
        </w:rPr>
        <w:tab/>
      </w:r>
      <w:r>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A1147C">
        <w:rPr>
          <w:strike/>
          <w:color w:val="000000" w:themeColor="text1"/>
          <w:u w:color="000000" w:themeColor="text1"/>
        </w:rPr>
        <w:t>(b)</w:t>
      </w:r>
      <w:r>
        <w:rPr>
          <w:color w:val="000000" w:themeColor="text1"/>
          <w:u w:val="single" w:color="000000" w:themeColor="text1"/>
        </w:rPr>
        <w:t>(ii)</w:t>
      </w:r>
      <w:r>
        <w:rPr>
          <w:color w:val="000000" w:themeColor="text1"/>
          <w:u w:color="000000" w:themeColor="text1"/>
        </w:rPr>
        <w:tab/>
      </w:r>
      <w:r>
        <w:rPr>
          <w:color w:val="000000" w:themeColor="text1"/>
          <w:u w:val="single" w:color="000000" w:themeColor="text1"/>
        </w:rPr>
        <w:t>concur with the commission’s findings of no probable cause and dismissal of the complaint; or</w:t>
      </w:r>
    </w:p>
    <w:p w14:paraId="3551F314" w14:textId="1405800C"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(iii</w:t>
      </w:r>
      <w:r w:rsidRPr="00E1639F">
        <w:rPr>
          <w:color w:val="000000" w:themeColor="text1"/>
          <w:u w:val="single" w:color="000000" w:themeColor="text1"/>
        </w:rPr>
        <w:t>)</w:t>
      </w:r>
      <w:r>
        <w:rPr>
          <w:color w:val="000000" w:themeColor="text1"/>
          <w:u w:color="000000" w:themeColor="text1"/>
        </w:rPr>
        <w:tab/>
      </w:r>
      <w:r w:rsidRPr="00490F09">
        <w:rPr>
          <w:color w:val="000000" w:themeColor="text1"/>
          <w:u w:color="000000" w:themeColor="text1"/>
        </w:rPr>
        <w:t>convene a formal public hearing on the matter.</w:t>
      </w:r>
    </w:p>
    <w:p w14:paraId="23E704D5"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0F09">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490F09">
        <w:rPr>
          <w:color w:val="000000" w:themeColor="text1"/>
          <w:u w:color="000000" w:themeColor="text1"/>
        </w:rPr>
        <w:t>The ethics committee may obtain its own information</w:t>
      </w:r>
      <w:r w:rsidRPr="00257F29">
        <w:rPr>
          <w:strike/>
          <w:color w:val="000000" w:themeColor="text1"/>
          <w:u w:color="000000" w:themeColor="text1"/>
        </w:rPr>
        <w:t>,</w:t>
      </w:r>
      <w:r w:rsidRPr="00490F09">
        <w:rPr>
          <w:color w:val="000000" w:themeColor="text1"/>
          <w:u w:color="000000" w:themeColor="text1"/>
        </w:rPr>
        <w:t xml:space="preserve"> or request additional investigation by the State Ethics Commission</w:t>
      </w:r>
      <w:r w:rsidRPr="00257F29">
        <w:rPr>
          <w:strike/>
          <w:color w:val="000000" w:themeColor="text1"/>
          <w:u w:color="000000" w:themeColor="text1"/>
        </w:rPr>
        <w:t>,</w:t>
      </w:r>
      <w:r w:rsidRPr="00490F09">
        <w:rPr>
          <w:color w:val="000000" w:themeColor="text1"/>
          <w:u w:color="000000" w:themeColor="text1"/>
        </w:rPr>
        <w:t xml:space="preserve"> if it needs additional information to make a determination </w:t>
      </w:r>
      <w:r w:rsidRPr="00490F09">
        <w:rPr>
          <w:strike/>
          <w:color w:val="000000" w:themeColor="text1"/>
          <w:u w:color="000000" w:themeColor="text1"/>
        </w:rPr>
        <w:t>as to whether or not competent and substantial evidence of</w:t>
      </w:r>
      <w:r w:rsidRPr="00490F09">
        <w:rPr>
          <w:color w:val="000000" w:themeColor="text1"/>
          <w:u w:color="000000" w:themeColor="text1"/>
        </w:rPr>
        <w:t xml:space="preserve"> </w:t>
      </w:r>
      <w:r w:rsidRPr="00490F09">
        <w:rPr>
          <w:color w:val="000000" w:themeColor="text1"/>
          <w:u w:val="single" w:color="000000" w:themeColor="text1"/>
        </w:rPr>
        <w:t>that</w:t>
      </w:r>
      <w:r w:rsidRPr="00490F09">
        <w:rPr>
          <w:color w:val="000000" w:themeColor="text1"/>
          <w:u w:color="000000" w:themeColor="text1"/>
        </w:rPr>
        <w:t xml:space="preserve"> a violation exists. An advisory opinion to the respondent pursuant to subitem (a) must be made public.</w:t>
      </w:r>
    </w:p>
    <w:p w14:paraId="70B12C8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(5)</w:t>
      </w:r>
      <w:r w:rsidRPr="00490F09">
        <w:rPr>
          <w:color w:val="000000" w:themeColor="text1"/>
          <w:u w:val="single" w:color="000000" w:themeColor="text1"/>
        </w:rPr>
        <w:t>(4)</w:t>
      </w:r>
      <w:r w:rsidRPr="00490F09">
        <w:rPr>
          <w:color w:val="000000" w:themeColor="text1"/>
          <w:u w:color="000000" w:themeColor="text1"/>
        </w:rPr>
        <w:tab/>
        <w:t>If the ethics committee convenes a formal public hearing:</w:t>
      </w:r>
    </w:p>
    <w:p w14:paraId="580720DF"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(a)</w:t>
      </w:r>
      <w:r>
        <w:rPr>
          <w:color w:val="000000" w:themeColor="text1"/>
          <w:u w:color="000000" w:themeColor="text1"/>
        </w:rPr>
        <w:tab/>
      </w:r>
      <w:r w:rsidRPr="00490F09">
        <w:rPr>
          <w:color w:val="000000" w:themeColor="text1"/>
          <w:u w:color="000000" w:themeColor="text1"/>
        </w:rPr>
        <w:t>the investigator or attorney handling the investigation for the State Ethics Commission shall present the evidence related to the complaint to the appropriate ethics committee;</w:t>
      </w:r>
    </w:p>
    <w:p w14:paraId="2484EA66"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w:t>
      </w:r>
      <w:r w:rsidRPr="007C5A8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490F09">
        <w:rPr>
          <w:color w:val="000000" w:themeColor="text1"/>
          <w:u w:color="000000" w:themeColor="text1"/>
        </w:rPr>
        <w:t xml:space="preserve"> public hearing.</w:t>
      </w:r>
      <w:r>
        <w:rPr>
          <w:color w:val="000000" w:themeColor="text1"/>
          <w:u w:color="000000" w:themeColor="text1"/>
        </w:rPr>
        <w:t xml:space="preserve"> </w:t>
      </w:r>
      <w:r w:rsidRPr="00490F09">
        <w:rPr>
          <w:color w:val="000000" w:themeColor="text1"/>
          <w:u w:color="000000" w:themeColor="text1"/>
        </w:rPr>
        <w:t>The appropriate committee shall maintain the authority to approve subpoenas, authorize expenditures, dismiss complaints, schedule hearings, grant continuances, and any other authority as provided for by their rules;</w:t>
      </w:r>
    </w:p>
    <w:p w14:paraId="1A21074D" w14:textId="5F5C5440"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the respondent must be allowed to examine and make copies of all evidence in the ethics committee</w:t>
      </w:r>
      <w:r w:rsidRPr="001302A1">
        <w:rPr>
          <w:color w:val="000000" w:themeColor="text1"/>
          <w:u w:color="000000" w:themeColor="text1"/>
        </w:rPr>
        <w:t>’</w:t>
      </w:r>
      <w:r w:rsidRPr="00490F09">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681C13">
        <w:rPr>
          <w:color w:val="000000" w:themeColor="text1"/>
          <w:u w:color="000000" w:themeColor="text1"/>
        </w:rPr>
        <w:noBreakHyphen/>
      </w:r>
      <w:r w:rsidRPr="00490F09">
        <w:rPr>
          <w:color w:val="000000" w:themeColor="text1"/>
          <w:u w:color="000000" w:themeColor="text1"/>
        </w:rPr>
        <w:t>examine opposing witnesses;</w:t>
      </w:r>
    </w:p>
    <w:p w14:paraId="0021C9F4"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all hearings must be open to the public.</w:t>
      </w:r>
    </w:p>
    <w:p w14:paraId="2B4D32D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lastRenderedPageBreak/>
        <w:tab/>
      </w:r>
      <w:r w:rsidRPr="00490F09">
        <w:rPr>
          <w:color w:val="000000" w:themeColor="text1"/>
          <w:u w:color="000000" w:themeColor="text1"/>
        </w:rPr>
        <w:tab/>
      </w:r>
      <w:r w:rsidRPr="00490F09">
        <w:rPr>
          <w:strike/>
          <w:color w:val="000000" w:themeColor="text1"/>
          <w:u w:color="000000" w:themeColor="text1"/>
        </w:rPr>
        <w:t>(6)</w:t>
      </w:r>
      <w:r w:rsidRPr="00490F09">
        <w:rPr>
          <w:color w:val="000000" w:themeColor="text1"/>
          <w:u w:val="single" w:color="000000" w:themeColor="text1"/>
        </w:rPr>
        <w:t>(5)</w:t>
      </w:r>
      <w:r w:rsidRPr="00490F09">
        <w:rPr>
          <w:color w:val="000000" w:themeColor="text1"/>
          <w:u w:color="000000" w:themeColor="text1"/>
        </w:rPr>
        <w:t>(a)</w:t>
      </w:r>
      <w:r>
        <w:rPr>
          <w:color w:val="000000" w:themeColor="text1"/>
          <w:u w:color="000000" w:themeColor="text1"/>
        </w:rPr>
        <w:tab/>
      </w:r>
      <w:r w:rsidRPr="00490F09">
        <w:rPr>
          <w:color w:val="000000" w:themeColor="text1"/>
          <w:u w:color="000000" w:themeColor="text1"/>
        </w:rPr>
        <w:t>After the formal public hearing, the ethics committee shall determine its findings of fact and issue its final order.</w:t>
      </w:r>
    </w:p>
    <w:p w14:paraId="4BA51BFB"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14:paraId="182F504A"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violated this chapter or Chapter 17, Title 2, the committee shall:</w:t>
      </w:r>
    </w:p>
    <w:p w14:paraId="6A27F422"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w:t>
      </w:r>
      <w:r>
        <w:rPr>
          <w:color w:val="000000" w:themeColor="text1"/>
          <w:u w:color="000000" w:themeColor="text1"/>
        </w:rPr>
        <w:tab/>
      </w:r>
      <w:r w:rsidRPr="00490F09">
        <w:rPr>
          <w:color w:val="000000" w:themeColor="text1"/>
          <w:u w:color="000000" w:themeColor="text1"/>
        </w:rPr>
        <w:t>administer a public reprimand;</w:t>
      </w:r>
    </w:p>
    <w:p w14:paraId="19CDA09C" w14:textId="6A50A9C2"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90F09">
        <w:rPr>
          <w:color w:val="000000" w:themeColor="text1"/>
          <w:u w:color="000000" w:themeColor="text1"/>
        </w:rPr>
        <w:t>determine that a technical violation as provided for in Section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1170 or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1372 has occurred;</w:t>
      </w:r>
    </w:p>
    <w:p w14:paraId="00973580"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(iii)</w:t>
      </w:r>
      <w:r>
        <w:rPr>
          <w:color w:val="000000" w:themeColor="text1"/>
          <w:u w:color="000000" w:themeColor="text1"/>
        </w:rPr>
        <w:tab/>
      </w:r>
      <w:r w:rsidRPr="00490F09">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14:paraId="43EC2526"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(iv)</w:t>
      </w:r>
      <w:r>
        <w:rPr>
          <w:color w:val="000000" w:themeColor="text1"/>
          <w:u w:color="000000" w:themeColor="text1"/>
        </w:rPr>
        <w:tab/>
      </w:r>
      <w:r w:rsidRPr="00490F09">
        <w:rPr>
          <w:color w:val="000000" w:themeColor="text1"/>
          <w:u w:color="000000" w:themeColor="text1"/>
        </w:rPr>
        <w:t>require the forfeiture of gifts, receipts, or profits, or the value of each</w:t>
      </w:r>
      <w:r w:rsidRPr="007C5A87">
        <w:rPr>
          <w:strike/>
          <w:color w:val="000000" w:themeColor="text1"/>
          <w:u w:color="000000" w:themeColor="text1"/>
        </w:rPr>
        <w:t>,</w:t>
      </w:r>
      <w:r w:rsidRPr="00490F09">
        <w:rPr>
          <w:color w:val="000000" w:themeColor="text1"/>
          <w:u w:color="000000" w:themeColor="text1"/>
        </w:rPr>
        <w:t xml:space="preserve"> obtained in violation of Chapter 13, Title 8 or Chapter 17, Title 2;</w:t>
      </w:r>
    </w:p>
    <w:p w14:paraId="5559FEBE"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w:t>
      </w:r>
      <w:r>
        <w:rPr>
          <w:color w:val="000000" w:themeColor="text1"/>
          <w:u w:color="000000" w:themeColor="text1"/>
        </w:rPr>
        <w:tab/>
      </w:r>
      <w:r w:rsidRPr="00490F09">
        <w:rPr>
          <w:color w:val="000000" w:themeColor="text1"/>
          <w:u w:color="000000" w:themeColor="text1"/>
        </w:rPr>
        <w:t>recommend expulsion of the member;</w:t>
      </w:r>
    </w:p>
    <w:p w14:paraId="788E9F74"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w:t>
      </w:r>
      <w:r>
        <w:rPr>
          <w:color w:val="000000" w:themeColor="text1"/>
          <w:u w:color="000000" w:themeColor="text1"/>
        </w:rPr>
        <w:tab/>
      </w:r>
      <w:r w:rsidRPr="00490F09">
        <w:rPr>
          <w:color w:val="000000" w:themeColor="text1"/>
          <w:u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p>
    <w:p w14:paraId="12881C94"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(vii)</w:t>
      </w:r>
      <w:r>
        <w:rPr>
          <w:color w:val="000000" w:themeColor="text1"/>
          <w:u w:color="000000" w:themeColor="text1"/>
        </w:rPr>
        <w:tab/>
      </w:r>
      <w:r w:rsidRPr="00490F09">
        <w:rPr>
          <w:color w:val="000000" w:themeColor="text1"/>
          <w:u w:color="000000" w:themeColor="text1"/>
        </w:rPr>
        <w:t>require a combination of subitems (i) through (vi) as necessary and appropriate.</w:t>
      </w:r>
    </w:p>
    <w:p w14:paraId="0ABD21E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14:paraId="14CB3181"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(e)</w:t>
      </w:r>
      <w:r>
        <w:rPr>
          <w:color w:val="000000" w:themeColor="text1"/>
          <w:u w:color="000000" w:themeColor="text1"/>
        </w:rPr>
        <w:tab/>
      </w:r>
      <w:r w:rsidRPr="00490F09">
        <w:rPr>
          <w:color w:val="000000" w:themeColor="text1"/>
          <w:u w:color="000000" w:themeColor="text1"/>
        </w:rPr>
        <w:t>Upon the issuance of the final order, the following documents become public record: exhibits introduced at the hearing, the committee</w:t>
      </w:r>
      <w:r w:rsidRPr="001302A1">
        <w:rPr>
          <w:color w:val="000000" w:themeColor="text1"/>
          <w:u w:color="000000" w:themeColor="text1"/>
        </w:rPr>
        <w:t>’</w:t>
      </w:r>
      <w:r w:rsidRPr="00490F09">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In addition, any documents in the commission</w:t>
      </w:r>
      <w:r w:rsidRPr="001302A1">
        <w:rPr>
          <w:color w:val="000000" w:themeColor="text1"/>
          <w:u w:color="000000" w:themeColor="text1"/>
        </w:rPr>
        <w:t>’</w:t>
      </w:r>
      <w:r w:rsidRPr="00490F09">
        <w:rPr>
          <w:color w:val="000000" w:themeColor="text1"/>
          <w:u w:color="000000" w:themeColor="text1"/>
        </w:rPr>
        <w:t>s report that substantiate the commission</w:t>
      </w:r>
      <w:r w:rsidRPr="001302A1">
        <w:rPr>
          <w:color w:val="000000" w:themeColor="text1"/>
          <w:u w:color="000000" w:themeColor="text1"/>
        </w:rPr>
        <w:t>’</w:t>
      </w:r>
      <w:r w:rsidRPr="00490F09">
        <w:rPr>
          <w:color w:val="000000" w:themeColor="text1"/>
          <w:u w:color="000000" w:themeColor="text1"/>
        </w:rPr>
        <w:t xml:space="preserve">s recommendation of probable cause </w:t>
      </w:r>
      <w:r w:rsidRPr="00A1147C">
        <w:rPr>
          <w:color w:val="000000" w:themeColor="text1"/>
          <w:u w:color="000000" w:themeColor="text1"/>
        </w:rPr>
        <w:t>that</w:t>
      </w:r>
      <w:r>
        <w:rPr>
          <w:color w:val="000000" w:themeColor="text1"/>
          <w:u w:color="000000" w:themeColor="text1"/>
        </w:rPr>
        <w:t xml:space="preserve"> </w:t>
      </w:r>
      <w:r w:rsidRPr="00490F09">
        <w:rPr>
          <w:color w:val="000000" w:themeColor="text1"/>
          <w:u w:color="000000" w:themeColor="text1"/>
        </w:rPr>
        <w:t xml:space="preserve">would constitute a public document and are not exempt from disclosure under the Freedom of Information Act or other state or federal law also shall become </w:t>
      </w:r>
      <w:r w:rsidRPr="00490F09">
        <w:rPr>
          <w:color w:val="000000" w:themeColor="text1"/>
          <w:u w:color="000000" w:themeColor="text1"/>
        </w:rPr>
        <w:lastRenderedPageBreak/>
        <w:t>public record.</w:t>
      </w:r>
      <w:r>
        <w:rPr>
          <w:color w:val="000000" w:themeColor="text1"/>
          <w:u w:color="000000" w:themeColor="text1"/>
        </w:rPr>
        <w:t xml:space="preserve"> </w:t>
      </w:r>
      <w:r w:rsidRPr="00490F09">
        <w:rPr>
          <w:color w:val="000000" w:themeColor="text1"/>
          <w:u w:color="000000" w:themeColor="text1"/>
        </w:rPr>
        <w:t>These documents must be redacted, as appropriate, in compliance with state or federal law</w:t>
      </w:r>
      <w:r>
        <w:rPr>
          <w:color w:val="000000" w:themeColor="text1"/>
          <w:u w:color="000000" w:themeColor="text1"/>
        </w:rPr>
        <w:t>.”</w:t>
      </w:r>
    </w:p>
    <w:p w14:paraId="5236E260"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9765C7" w14:textId="166DF032" w:rsidR="00A71790"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F09">
        <w:rPr>
          <w:color w:val="000000" w:themeColor="text1"/>
          <w:u w:color="000000" w:themeColor="text1"/>
        </w:rPr>
        <w:t>SECTION</w:t>
      </w:r>
      <w:r w:rsidRPr="00490F09">
        <w:rPr>
          <w:color w:val="000000" w:themeColor="text1"/>
          <w:u w:color="000000" w:themeColor="text1"/>
        </w:rPr>
        <w:tab/>
        <w:t>2.</w:t>
      </w:r>
      <w:r w:rsidRPr="00490F09">
        <w:rPr>
          <w:color w:val="000000" w:themeColor="text1"/>
          <w:u w:color="000000" w:themeColor="text1"/>
        </w:rPr>
        <w:tab/>
        <w:t xml:space="preserve">The provisions of this act are effective as of </w:t>
      </w:r>
      <w:r>
        <w:rPr>
          <w:color w:val="000000" w:themeColor="text1"/>
          <w:u w:color="000000" w:themeColor="text1"/>
        </w:rPr>
        <w:t>July</w:t>
      </w:r>
      <w:r w:rsidRPr="00490F09">
        <w:rPr>
          <w:color w:val="000000" w:themeColor="text1"/>
          <w:u w:color="000000" w:themeColor="text1"/>
        </w:rPr>
        <w:t xml:space="preserve"> 1, </w:t>
      </w:r>
      <w:r w:rsidR="00053109" w:rsidRPr="00490F09">
        <w:rPr>
          <w:color w:val="000000" w:themeColor="text1"/>
          <w:u w:color="000000" w:themeColor="text1"/>
        </w:rPr>
        <w:t>20</w:t>
      </w:r>
      <w:r w:rsidR="00053109">
        <w:rPr>
          <w:color w:val="000000" w:themeColor="text1"/>
          <w:u w:color="000000" w:themeColor="text1"/>
        </w:rPr>
        <w:t>21</w:t>
      </w:r>
      <w:r w:rsidR="00053109" w:rsidRPr="00490F09">
        <w:rPr>
          <w:color w:val="000000" w:themeColor="text1"/>
          <w:u w:color="000000" w:themeColor="text1"/>
        </w:rPr>
        <w:t xml:space="preserve"> </w:t>
      </w:r>
      <w:r w:rsidRPr="00490F09">
        <w:rPr>
          <w:color w:val="000000" w:themeColor="text1"/>
          <w:u w:color="000000" w:themeColor="text1"/>
        </w:rPr>
        <w:t xml:space="preserve">and apply to complaints filed on or after </w:t>
      </w:r>
      <w:r>
        <w:rPr>
          <w:color w:val="000000" w:themeColor="text1"/>
          <w:u w:color="000000" w:themeColor="text1"/>
        </w:rPr>
        <w:t xml:space="preserve">July 1, </w:t>
      </w:r>
      <w:r w:rsidR="00053109">
        <w:rPr>
          <w:color w:val="000000" w:themeColor="text1"/>
          <w:u w:color="000000" w:themeColor="text1"/>
        </w:rPr>
        <w:t>2021</w:t>
      </w:r>
      <w:r>
        <w:rPr>
          <w:color w:val="000000" w:themeColor="text1"/>
          <w:u w:color="000000" w:themeColor="text1"/>
        </w:rPr>
        <w:t>.</w:t>
      </w:r>
    </w:p>
    <w:p w14:paraId="3F83C59E" w14:textId="517B787A" w:rsidR="00490C95" w:rsidRDefault="00681C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6EFD47" w14:textId="77777777" w:rsidR="00335253" w:rsidRDefault="00335253" w:rsidP="00335253">
      <w:pPr>
        <w:suppressAutoHyphens/>
        <w:jc w:val="both"/>
        <w:rPr>
          <w:rFonts w:eastAsia="Times New Roman"/>
        </w:rPr>
      </w:pPr>
    </w:p>
    <w:sectPr w:rsidR="00335253" w:rsidSect="003352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33349" w14:textId="77777777" w:rsidR="00832E31" w:rsidRDefault="00832E31" w:rsidP="00522CE0">
      <w:r>
        <w:separator/>
      </w:r>
    </w:p>
  </w:endnote>
  <w:endnote w:type="continuationSeparator" w:id="0">
    <w:p w14:paraId="61D71AB7" w14:textId="77777777" w:rsidR="00832E31" w:rsidRDefault="00832E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44B37B-BCE7-4F4A-AE80-F8D5202AAE84}"/>
    <w:embedBold r:id="rId2" w:fontKey="{BA25F064-8A63-4B5B-8530-A87F1A4D753F}"/>
  </w:font>
  <w:font w:name="Calibri">
    <w:panose1 w:val="020F0502020204030204"/>
    <w:charset w:val="00"/>
    <w:family w:val="swiss"/>
    <w:pitch w:val="variable"/>
    <w:sig w:usb0="E4002EFF" w:usb1="C000247B" w:usb2="00000009" w:usb3="00000000" w:csb0="000001FF" w:csb1="00000000"/>
    <w:embedRegular r:id="rId3" w:fontKey="{CBD10EB0-4378-465F-9370-A7D3FD45F372}"/>
    <w:embedBold r:id="rId4" w:fontKey="{1985C2FF-A86E-4B83-BAAD-E3C1E71A1806}"/>
  </w:font>
  <w:font w:name="Segoe UI">
    <w:panose1 w:val="020B0502040204020203"/>
    <w:charset w:val="00"/>
    <w:family w:val="swiss"/>
    <w:pitch w:val="variable"/>
    <w:sig w:usb0="E4002EFF" w:usb1="C000E47F" w:usb2="00000009" w:usb3="00000000" w:csb0="000001FF" w:csb1="00000000"/>
    <w:embedRegular r:id="rId5" w:fontKey="{F1B3C023-DF36-46ED-86CE-19DB1B1E9622}"/>
  </w:font>
  <w:font w:name="Cambria">
    <w:panose1 w:val="02040503050406030204"/>
    <w:charset w:val="00"/>
    <w:family w:val="roman"/>
    <w:pitch w:val="variable"/>
    <w:sig w:usb0="E00006FF" w:usb1="420024FF" w:usb2="02000000" w:usb3="00000000" w:csb0="0000019F" w:csb1="00000000"/>
    <w:embedRegular r:id="rId6" w:fontKey="{2F43395C-73E2-4F2A-A4DB-A8A3222256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27CA8" w14:textId="105FFCD4" w:rsidR="00490C95" w:rsidRPr="00335253" w:rsidRDefault="00335253" w:rsidP="00335253">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790E" w14:textId="77777777" w:rsidR="00832E31" w:rsidRDefault="00832E31" w:rsidP="00522CE0">
      <w:r>
        <w:separator/>
      </w:r>
    </w:p>
  </w:footnote>
  <w:footnote w:type="continuationSeparator" w:id="0">
    <w:p w14:paraId="5292FA3F" w14:textId="77777777" w:rsidR="00832E31" w:rsidRDefault="00832E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THI.KMM.SFT"/>
    <w:docVar w:name="CoverAttorneyInitials" w:val="KMM"/>
    <w:docVar w:name="CoverAttorneyLastName" w:val="Moffitt"/>
    <w:docVar w:name="CoverBillType" w:val="b"/>
    <w:docVar w:name="CoverSenator" w:val="SFT"/>
    <w:docVar w:name="dvBillNumber" w:val="375"/>
    <w:docVar w:name="dvBillNumberPrefix" w:val="S. "/>
    <w:docVar w:name="dvOriginalBody" w:val="Senate"/>
    <w:docVar w:name="fulldraftpath" w:val="L:\S-RES\SFT\004ETHI.KMM.SFT.DOCX"/>
    <w:docVar w:name="NameofBody" w:val="S"/>
    <w:docVar w:name="vgroup2" w:val="S-RES"/>
  </w:docVars>
  <w:rsids>
    <w:rsidRoot w:val="00A71790"/>
    <w:rsid w:val="00042AC1"/>
    <w:rsid w:val="00046516"/>
    <w:rsid w:val="00053109"/>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5253"/>
    <w:rsid w:val="00383247"/>
    <w:rsid w:val="003D6E2B"/>
    <w:rsid w:val="003E7597"/>
    <w:rsid w:val="00413EBF"/>
    <w:rsid w:val="0044020F"/>
    <w:rsid w:val="00450668"/>
    <w:rsid w:val="00454138"/>
    <w:rsid w:val="004813A2"/>
    <w:rsid w:val="00490C95"/>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81C13"/>
    <w:rsid w:val="006A1802"/>
    <w:rsid w:val="006C0CBB"/>
    <w:rsid w:val="006C74EA"/>
    <w:rsid w:val="006F56CF"/>
    <w:rsid w:val="00720D40"/>
    <w:rsid w:val="007318D4"/>
    <w:rsid w:val="0074100F"/>
    <w:rsid w:val="00765784"/>
    <w:rsid w:val="007A4390"/>
    <w:rsid w:val="007E5CB7"/>
    <w:rsid w:val="008314D2"/>
    <w:rsid w:val="00832E31"/>
    <w:rsid w:val="00870F6F"/>
    <w:rsid w:val="008B2F42"/>
    <w:rsid w:val="008C3697"/>
    <w:rsid w:val="008E185F"/>
    <w:rsid w:val="008F023B"/>
    <w:rsid w:val="00904E16"/>
    <w:rsid w:val="009162B3"/>
    <w:rsid w:val="00924FA8"/>
    <w:rsid w:val="00927C62"/>
    <w:rsid w:val="00963545"/>
    <w:rsid w:val="00983951"/>
    <w:rsid w:val="00984124"/>
    <w:rsid w:val="00984640"/>
    <w:rsid w:val="00995C37"/>
    <w:rsid w:val="009C118A"/>
    <w:rsid w:val="00A02011"/>
    <w:rsid w:val="00A4011E"/>
    <w:rsid w:val="00A71790"/>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4F32"/>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177B"/>
    <w:rsid w:val="00EB47AE"/>
    <w:rsid w:val="00EC34E1"/>
    <w:rsid w:val="00F0234A"/>
    <w:rsid w:val="00F05CF2"/>
    <w:rsid w:val="00F254A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E662EB"/>
  <w15:docId w15:val="{D34363A4-D839-4D09-8389-345E4CC8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B1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77B"/>
    <w:rPr>
      <w:rFonts w:ascii="Segoe UI" w:hAnsi="Segoe UI" w:cs="Segoe UI"/>
      <w:sz w:val="18"/>
      <w:szCs w:val="18"/>
    </w:rPr>
  </w:style>
  <w:style w:type="character" w:styleId="CommentReference">
    <w:name w:val="annotation reference"/>
    <w:basedOn w:val="DefaultParagraphFont"/>
    <w:uiPriority w:val="99"/>
    <w:semiHidden/>
    <w:unhideWhenUsed/>
    <w:rsid w:val="00D14F32"/>
    <w:rPr>
      <w:sz w:val="16"/>
      <w:szCs w:val="16"/>
    </w:rPr>
  </w:style>
  <w:style w:type="paragraph" w:styleId="CommentText">
    <w:name w:val="annotation text"/>
    <w:basedOn w:val="Normal"/>
    <w:link w:val="CommentTextChar"/>
    <w:uiPriority w:val="99"/>
    <w:semiHidden/>
    <w:unhideWhenUsed/>
    <w:rsid w:val="00D14F32"/>
    <w:rPr>
      <w:sz w:val="20"/>
      <w:szCs w:val="20"/>
    </w:rPr>
  </w:style>
  <w:style w:type="character" w:customStyle="1" w:styleId="CommentTextChar">
    <w:name w:val="Comment Text Char"/>
    <w:basedOn w:val="DefaultParagraphFont"/>
    <w:link w:val="CommentText"/>
    <w:uiPriority w:val="99"/>
    <w:semiHidden/>
    <w:rsid w:val="00D14F32"/>
    <w:rPr>
      <w:sz w:val="20"/>
      <w:szCs w:val="20"/>
    </w:rPr>
  </w:style>
  <w:style w:type="paragraph" w:styleId="CommentSubject">
    <w:name w:val="annotation subject"/>
    <w:basedOn w:val="CommentText"/>
    <w:next w:val="CommentText"/>
    <w:link w:val="CommentSubjectChar"/>
    <w:uiPriority w:val="99"/>
    <w:semiHidden/>
    <w:unhideWhenUsed/>
    <w:rsid w:val="00D14F32"/>
    <w:rPr>
      <w:b/>
      <w:bCs/>
    </w:rPr>
  </w:style>
  <w:style w:type="character" w:customStyle="1" w:styleId="CommentSubjectChar">
    <w:name w:val="Comment Subject Char"/>
    <w:basedOn w:val="CommentTextChar"/>
    <w:link w:val="CommentSubject"/>
    <w:uiPriority w:val="99"/>
    <w:semiHidden/>
    <w:rsid w:val="00D14F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1016</Words>
  <Characters>5559</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 Text of Previous Version (Dec. 9, 2020) - South Carolina Legislature Online</dc:title>
  <dc:subject/>
  <dc:creator>Rebecca Landau</dc:creator>
  <cp:keywords/>
  <dc:description/>
  <cp:lastModifiedBy>Sade Wilson</cp:lastModifiedBy>
  <cp:revision>2</cp:revision>
  <dcterms:created xsi:type="dcterms:W3CDTF">2020-12-12T05:01:00Z</dcterms:created>
  <dcterms:modified xsi:type="dcterms:W3CDTF">2020-12-12T05:01:00Z</dcterms:modified>
</cp:coreProperties>
</file>