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2F9C7" w14:textId="77777777" w:rsidR="009152B4" w:rsidRPr="00522CE0" w:rsidRDefault="00915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0C789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E2A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A16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50D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ED07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636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408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EFF329" w14:textId="77777777" w:rsidR="00522CE0" w:rsidRPr="008F023B" w:rsidRDefault="00522CE0" w:rsidP="0091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11CB">
        <w:rPr>
          <w:rFonts w:eastAsia="Times New Roman"/>
          <w:b/>
          <w:sz w:val="30"/>
          <w:szCs w:val="30"/>
        </w:rPr>
        <w:t>BILL</w:t>
      </w:r>
    </w:p>
    <w:p w14:paraId="53501D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11407" w14:textId="3D84F507" w:rsidR="00522CE0" w:rsidRPr="00522CE0" w:rsidRDefault="0085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2-1-180 OF THE 1976 CODE, RELATING TO THE MANDATORY SINE DIE ADJOURNMENT DATE OF THE GENERAL ASSEMBLY, TO PROVIDE FOR A BIENNIAL STATE GENERAL APPROPRIATIONS ACT AND TO PROVIDE THAT, IN EVEN-NUMBERED YEARS, THE REGULAR ANNUAL SESSION OF THE GENERAL ASSEMBLY CAN BE EXTENDED IF </w:t>
      </w:r>
      <w:r w:rsidRPr="003055D3">
        <w:t>A CONCURRENT RESOLUTION IS ADOPTED BY A TWO-THIRDS VOTE OF BOTH THE SENATE AND HOUSE OF REPRESENTATIVES NOT LATER THAN FIVE O’CLOCK P.M. ON THE SECOND THURSDAY IN APR</w:t>
      </w:r>
      <w:r>
        <w:t>IL; AND TO AMEND SECTION 2-7-60 OF THE 1976 CODE</w:t>
      </w:r>
      <w:r w:rsidRPr="003055D3">
        <w:t xml:space="preserve">, RELATING TO </w:t>
      </w:r>
      <w:r>
        <w:t xml:space="preserve">THE GENERAL APPROPRIATIONS ACT, TO PROVIDE THAT, BEGINNING </w:t>
      </w:r>
      <w:r w:rsidRPr="00E246E2">
        <w:rPr>
          <w:color w:val="000000" w:themeColor="text1"/>
          <w:u w:color="000000" w:themeColor="text1"/>
        </w:rPr>
        <w:t xml:space="preserve">WITH </w:t>
      </w:r>
      <w:r>
        <w:rPr>
          <w:color w:val="000000" w:themeColor="text1"/>
          <w:u w:color="000000" w:themeColor="text1"/>
        </w:rPr>
        <w:t xml:space="preserve">THE </w:t>
      </w:r>
      <w:r w:rsidR="006E625A">
        <w:rPr>
          <w:color w:val="000000" w:themeColor="text1"/>
          <w:u w:color="000000" w:themeColor="text1"/>
        </w:rPr>
        <w:t>2023</w:t>
      </w:r>
      <w:r w:rsidR="006E625A" w:rsidRPr="00E246E2">
        <w:rPr>
          <w:color w:val="000000" w:themeColor="text1"/>
          <w:u w:color="000000" w:themeColor="text1"/>
        </w:rPr>
        <w:t xml:space="preserve"> </w:t>
      </w:r>
      <w:r w:rsidRPr="00E246E2">
        <w:rPr>
          <w:color w:val="000000" w:themeColor="text1"/>
          <w:u w:color="000000" w:themeColor="text1"/>
        </w:rPr>
        <w:t>SESSION, THE GENERAL ASSEMBLY SHALL ENACT A BIENNIAL STATE GENERAL APPROPRIATIONS ACT.</w:t>
      </w:r>
    </w:p>
    <w:p w14:paraId="2FBA37D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5FE2BFF" w14:textId="77777777" w:rsidR="003F11CB" w:rsidRDefault="003F1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EAA223" w14:textId="77777777" w:rsidR="003F11CB" w:rsidRDefault="003F1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B0404" w14:textId="77777777" w:rsidR="00857499" w:rsidRDefault="003F11CB"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857499">
        <w:rPr>
          <w:rFonts w:eastAsia="Times New Roman"/>
        </w:rPr>
        <w:t>Section 2-1-180 of the 1976 Code is amended to read:</w:t>
      </w:r>
    </w:p>
    <w:p w14:paraId="54B5C520" w14:textId="77777777"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C5834E4" w14:textId="77777777"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2-1-180.</w:t>
      </w:r>
      <w:r>
        <w:rPr>
          <w:rFonts w:eastAsia="Times New Roman"/>
        </w:rPr>
        <w:tab/>
      </w:r>
      <w:r>
        <w:t>The regular annual session of the General Assembly shall adjourn sine die each year not later than five o'clock p.m. on the second Thursday in May. The regular annual session of the General Assembly can be extended:</w:t>
      </w:r>
    </w:p>
    <w:p w14:paraId="3EF1E79E" w14:textId="79B1554A"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D36FC">
        <w:rPr>
          <w:strike/>
        </w:rPr>
        <w:t>(a)</w:t>
      </w:r>
      <w:r>
        <w:rPr>
          <w:u w:val="single"/>
        </w:rPr>
        <w:t>(1)</w:t>
      </w:r>
      <w:r>
        <w:tab/>
      </w:r>
      <w:r>
        <w:rPr>
          <w:u w:val="single"/>
        </w:rPr>
        <w:t>in odd-numbered years,</w:t>
      </w:r>
      <w:r>
        <w:t xml:space="preserve"> if the House of Representatives fails to give a third reading to the </w:t>
      </w:r>
      <w:r w:rsidRPr="007B1B46">
        <w:rPr>
          <w:strike/>
        </w:rPr>
        <w:t>annual</w:t>
      </w:r>
      <w:r>
        <w:t xml:space="preserve"> </w:t>
      </w:r>
      <w:r>
        <w:rPr>
          <w:u w:val="single"/>
        </w:rPr>
        <w:t>biennial state</w:t>
      </w:r>
      <w:r>
        <w:t xml:space="preserve"> general appropriations bill by March thirty</w:t>
      </w:r>
      <w:r w:rsidR="000E1A69">
        <w:noBreakHyphen/>
      </w:r>
      <w:r>
        <w:t>first, the date of sine die adjournment is extended by one statewide day for each statewide day after March thirty</w:t>
      </w:r>
      <w:r w:rsidR="000E1A69">
        <w:noBreakHyphen/>
      </w:r>
      <w:r>
        <w:t xml:space="preserve">first that the House of Representatives fails to give the bill third reading; </w:t>
      </w:r>
      <w:r w:rsidRPr="00DD2A64">
        <w:rPr>
          <w:strike/>
        </w:rPr>
        <w:t>or</w:t>
      </w:r>
    </w:p>
    <w:p w14:paraId="614F7B9A" w14:textId="605190FD"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9D36FC">
        <w:rPr>
          <w:strike/>
        </w:rPr>
        <w:t>(b)</w:t>
      </w:r>
      <w:r>
        <w:rPr>
          <w:u w:val="single"/>
        </w:rPr>
        <w:t>(2)</w:t>
      </w:r>
      <w:r>
        <w:tab/>
      </w:r>
      <w:r>
        <w:rPr>
          <w:u w:val="single"/>
        </w:rPr>
        <w:t>in odd-numbered years,</w:t>
      </w:r>
      <w:r>
        <w:t xml:space="preserve"> if a forecast reduction is submitted by the Board of Economic Advisors pursuant to Section 11</w:t>
      </w:r>
      <w:r w:rsidR="000E1A69">
        <w:noBreakHyphen/>
      </w:r>
      <w:r>
        <w:t>9</w:t>
      </w:r>
      <w:r w:rsidR="000E1A69">
        <w:noBreakHyphen/>
      </w:r>
      <w:r>
        <w:t xml:space="preserve">880 after April tenth for the next </w:t>
      </w:r>
      <w:r>
        <w:rPr>
          <w:u w:val="single"/>
        </w:rPr>
        <w:t>two</w:t>
      </w:r>
      <w:r>
        <w:t xml:space="preserve"> fiscal </w:t>
      </w:r>
      <w:r w:rsidRPr="007B1B46">
        <w:rPr>
          <w:strike/>
        </w:rPr>
        <w:t>year</w:t>
      </w:r>
      <w:r>
        <w:t xml:space="preserve"> </w:t>
      </w:r>
      <w:r>
        <w:rPr>
          <w:u w:val="single"/>
        </w:rPr>
        <w:t>years</w:t>
      </w:r>
      <w:r>
        <w:t xml:space="preserve">, the adjournment date for the General Assembly may be extended up to two weeks with the agreement of the Speaker of the House and the President Pro Tempore of the Senate; </w:t>
      </w:r>
      <w:r w:rsidRPr="00DD2A64">
        <w:rPr>
          <w:strike/>
        </w:rPr>
        <w:t>or</w:t>
      </w:r>
    </w:p>
    <w:p w14:paraId="4145AFAB" w14:textId="625D2F5D" w:rsidR="00857499" w:rsidRPr="00FF00E8"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9D36FC">
        <w:rPr>
          <w:strike/>
        </w:rPr>
        <w:t>(c)</w:t>
      </w:r>
      <w:r>
        <w:rPr>
          <w:u w:val="single"/>
        </w:rPr>
        <w:t>(3)</w:t>
      </w:r>
      <w:r>
        <w:tab/>
      </w:r>
      <w:r>
        <w:rPr>
          <w:u w:val="single"/>
        </w:rPr>
        <w:t>in odd-numbered years,</w:t>
      </w:r>
      <w:r w:rsidRPr="00341670">
        <w:t xml:space="preserve"> </w:t>
      </w:r>
      <w:r>
        <w:t>if a concurrent resolution is adopted by a two</w:t>
      </w:r>
      <w:r w:rsidR="000E1A69">
        <w:noBreakHyphen/>
      </w:r>
      <w:r>
        <w:t xml:space="preserve">thirds vote of both the Senate and House of Representatives not later than five o'clock p.m. on the second Thursday in May. During the time between five o'clock p.m. on the second Thursday in May and the extended sine die adjournment date, as set forth herein, no legislation or other business may be considered except the </w:t>
      </w:r>
      <w:r>
        <w:rPr>
          <w:u w:val="single"/>
        </w:rPr>
        <w:t>biennial state</w:t>
      </w:r>
      <w:r>
        <w:t xml:space="preserve"> general appropriations bill and any matters approved for consideration by a concurrent resolution adopted by two</w:t>
      </w:r>
      <w:r w:rsidR="000E1A69">
        <w:noBreakHyphen/>
      </w:r>
      <w:r>
        <w:t>thirds vote in both houses</w:t>
      </w:r>
      <w:r>
        <w:rPr>
          <w:u w:val="single"/>
        </w:rPr>
        <w:t xml:space="preserve">; </w:t>
      </w:r>
      <w:r w:rsidRPr="00FF00E8">
        <w:rPr>
          <w:u w:val="single"/>
        </w:rPr>
        <w:t>or</w:t>
      </w:r>
    </w:p>
    <w:p w14:paraId="2970FC1A" w14:textId="06928C4A"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(4)</w:t>
      </w:r>
      <w:r>
        <w:tab/>
      </w:r>
      <w:r>
        <w:rPr>
          <w:u w:val="single"/>
        </w:rPr>
        <w:t>in even-numbered years, if a concurrent resolution is adopted by a two-thirds vote of both the Senate and House of Representatives not later than five o’clock p.m. on the second Thursday in April</w:t>
      </w:r>
      <w:r w:rsidRPr="006E625A">
        <w:t xml:space="preserve">. </w:t>
      </w:r>
      <w:r w:rsidRPr="007B1B46">
        <w:rPr>
          <w:u w:val="single"/>
        </w:rPr>
        <w:t xml:space="preserve">During the time between five o'clock p.m. on the second Thursday in </w:t>
      </w:r>
      <w:r>
        <w:rPr>
          <w:u w:val="single"/>
        </w:rPr>
        <w:t>April</w:t>
      </w:r>
      <w:r w:rsidRPr="007B1B46">
        <w:rPr>
          <w:u w:val="single"/>
        </w:rPr>
        <w:t xml:space="preserve"> and the extended sine die adjournment date, as set forth herein, no legislation or other business may be considered except the biennial state general appropriations bill and any matters approved for consideration by a concurrent resolution adopted by </w:t>
      </w:r>
      <w:r>
        <w:rPr>
          <w:u w:val="single"/>
        </w:rPr>
        <w:t xml:space="preserve">a </w:t>
      </w:r>
      <w:r w:rsidRPr="007B1B46">
        <w:rPr>
          <w:u w:val="single"/>
        </w:rPr>
        <w:t>two</w:t>
      </w:r>
      <w:r w:rsidR="000E1A69">
        <w:rPr>
          <w:u w:val="single"/>
        </w:rPr>
        <w:noBreakHyphen/>
      </w:r>
      <w:r w:rsidRPr="007B1B46">
        <w:rPr>
          <w:u w:val="single"/>
        </w:rPr>
        <w:t>thirds vote in both houses.</w:t>
      </w:r>
      <w:r>
        <w:t>”</w:t>
      </w:r>
    </w:p>
    <w:p w14:paraId="6E844823" w14:textId="77777777"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3D0469F" w14:textId="33D0F7CE"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E246E2">
        <w:rPr>
          <w:color w:val="000000" w:themeColor="text1"/>
          <w:u w:color="000000" w:themeColor="text1"/>
        </w:rPr>
        <w:t>Section 2</w:t>
      </w:r>
      <w:r w:rsidR="000E1A69">
        <w:rPr>
          <w:color w:val="000000" w:themeColor="text1"/>
          <w:u w:color="000000" w:themeColor="text1"/>
        </w:rPr>
        <w:noBreakHyphen/>
      </w:r>
      <w:r w:rsidRPr="00E246E2">
        <w:rPr>
          <w:color w:val="000000" w:themeColor="text1"/>
          <w:u w:color="000000" w:themeColor="text1"/>
        </w:rPr>
        <w:t>7</w:t>
      </w:r>
      <w:r w:rsidR="000E1A69">
        <w:rPr>
          <w:color w:val="000000" w:themeColor="text1"/>
          <w:u w:color="000000" w:themeColor="text1"/>
        </w:rPr>
        <w:noBreakHyphen/>
      </w:r>
      <w:r w:rsidRPr="00E246E2">
        <w:rPr>
          <w:color w:val="000000" w:themeColor="text1"/>
          <w:u w:color="000000" w:themeColor="text1"/>
        </w:rPr>
        <w:t>60 of the 1976 Code is amended to read:</w:t>
      </w:r>
    </w:p>
    <w:p w14:paraId="48322EC8" w14:textId="77777777" w:rsidR="00857499" w:rsidRPr="00E246E2"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399382" w14:textId="7F0C04FB" w:rsidR="00857499" w:rsidRPr="00E246E2"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0E1A69">
        <w:rPr>
          <w:color w:val="000000" w:themeColor="text1"/>
          <w:u w:color="000000" w:themeColor="text1"/>
        </w:rPr>
        <w:noBreakHyphen/>
      </w:r>
      <w:r w:rsidRPr="00E246E2">
        <w:rPr>
          <w:color w:val="000000" w:themeColor="text1"/>
          <w:u w:color="000000" w:themeColor="text1"/>
        </w:rPr>
        <w:t>7</w:t>
      </w:r>
      <w:r w:rsidR="000E1A69">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6E625A">
        <w:rPr>
          <w:color w:val="000000" w:themeColor="text1"/>
          <w:u w:color="000000" w:themeColor="text1"/>
        </w:rPr>
        <w:t>shall</w:t>
      </w:r>
      <w:r w:rsidRPr="00E246E2">
        <w:rPr>
          <w:color w:val="000000" w:themeColor="text1"/>
          <w:u w:color="000000" w:themeColor="text1"/>
        </w:rPr>
        <w:t xml:space="preserve"> annually provide for all expenditures in the general appropriations act</w:t>
      </w:r>
      <w:r>
        <w:rPr>
          <w:color w:val="000000" w:themeColor="text1"/>
          <w:u w:val="single" w:color="000000" w:themeColor="text1"/>
        </w:rPr>
        <w:t>,</w:t>
      </w:r>
      <w:r w:rsidRPr="00E246E2">
        <w:rPr>
          <w:color w:val="000000" w:themeColor="text1"/>
          <w:u w:color="000000" w:themeColor="text1"/>
        </w:rPr>
        <w:t xml:space="preserve">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6E625A">
        <w:rPr>
          <w:color w:val="000000" w:themeColor="text1"/>
          <w:u w:color="000000" w:themeColor="text1"/>
        </w:rPr>
        <w:t>shall</w:t>
      </w:r>
      <w:r w:rsidRPr="00E246E2">
        <w:rPr>
          <w:color w:val="000000" w:themeColor="text1"/>
          <w:u w:color="000000" w:themeColor="text1"/>
        </w:rPr>
        <w:t xml:space="preserve"> be in a definite sum for each purpose or activity with </w:t>
      </w:r>
      <w:r w:rsidRPr="006E625A">
        <w:rPr>
          <w:color w:val="000000" w:themeColor="text1"/>
          <w:u w:color="000000" w:themeColor="text1"/>
        </w:rPr>
        <w:t>such</w:t>
      </w:r>
      <w:r w:rsidRPr="00E246E2">
        <w:rPr>
          <w:color w:val="000000" w:themeColor="text1"/>
          <w:u w:color="000000" w:themeColor="text1"/>
        </w:rPr>
        <w:t xml:space="preserve"> itemization under the activity as may be </w:t>
      </w:r>
      <w:r w:rsidRPr="006E625A">
        <w:rPr>
          <w:color w:val="000000" w:themeColor="text1"/>
          <w:u w:color="000000" w:themeColor="text1"/>
        </w:rPr>
        <w:t>deemed</w:t>
      </w:r>
      <w:r w:rsidRPr="00E246E2">
        <w:rPr>
          <w:color w:val="000000" w:themeColor="text1"/>
          <w:u w:color="000000" w:themeColor="text1"/>
        </w:rPr>
        <w:t xml:space="preserve"> nec</w:t>
      </w:r>
      <w:r>
        <w:rPr>
          <w:color w:val="000000" w:themeColor="text1"/>
          <w:u w:color="000000" w:themeColor="text1"/>
        </w:rPr>
        <w:t>essary by the General Assembly.</w:t>
      </w:r>
    </w:p>
    <w:p w14:paraId="63DCCECC" w14:textId="237D2401" w:rsidR="00857499" w:rsidRPr="00E246E2"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Pr>
          <w:color w:val="000000" w:themeColor="text1"/>
          <w:u w:val="single" w:color="000000" w:themeColor="text1"/>
        </w:rPr>
        <w:t>I</w:t>
      </w:r>
      <w:r w:rsidRPr="00E246E2">
        <w:rPr>
          <w:color w:val="000000" w:themeColor="text1"/>
          <w:u w:val="single" w:color="000000" w:themeColor="text1"/>
        </w:rPr>
        <w:t xml:space="preserve">n each session every two years, the General Assembly shall enact a biennial state general appropriations act in a form and under </w:t>
      </w:r>
      <w:r>
        <w:rPr>
          <w:color w:val="000000" w:themeColor="text1"/>
          <w:u w:val="single" w:color="000000" w:themeColor="text1"/>
        </w:rPr>
        <w:t xml:space="preserve">such </w:t>
      </w:r>
      <w:r w:rsidRPr="00E246E2">
        <w:rPr>
          <w:color w:val="000000" w:themeColor="text1"/>
          <w:u w:val="single" w:color="000000" w:themeColor="text1"/>
        </w:rPr>
        <w:t>conditions as it conside</w:t>
      </w:r>
      <w:r>
        <w:rPr>
          <w:color w:val="000000" w:themeColor="text1"/>
          <w:u w:val="single" w:color="000000" w:themeColor="text1"/>
        </w:rPr>
        <w:t>rs appropriate. T</w:t>
      </w:r>
      <w:r w:rsidRPr="00E246E2">
        <w:rPr>
          <w:color w:val="000000" w:themeColor="text1"/>
          <w:u w:val="single" w:color="000000" w:themeColor="text1"/>
        </w:rPr>
        <w:t xml:space="preserve">he term </w:t>
      </w:r>
      <w:r w:rsidRPr="002B06B8">
        <w:rPr>
          <w:color w:val="000000" w:themeColor="text1"/>
          <w:u w:val="single" w:color="000000" w:themeColor="text1"/>
        </w:rPr>
        <w:t>‘</w:t>
      </w:r>
      <w:r w:rsidRPr="00E246E2">
        <w:rPr>
          <w:color w:val="000000" w:themeColor="text1"/>
          <w:u w:val="single" w:color="000000" w:themeColor="text1"/>
        </w:rPr>
        <w:t>annual state general appropriations act</w:t>
      </w:r>
      <w:r w:rsidRPr="002B06B8">
        <w:rPr>
          <w:color w:val="000000" w:themeColor="text1"/>
          <w:u w:val="single" w:color="000000" w:themeColor="text1"/>
        </w:rPr>
        <w:t>’</w:t>
      </w:r>
      <w:r w:rsidRPr="00E246E2">
        <w:rPr>
          <w:color w:val="000000" w:themeColor="text1"/>
          <w:u w:val="single" w:color="000000" w:themeColor="text1"/>
        </w:rPr>
        <w:t xml:space="preserve"> or any similar variations of th</w:t>
      </w:r>
      <w:r w:rsidR="0080510F">
        <w:rPr>
          <w:color w:val="000000" w:themeColor="text1"/>
          <w:u w:val="single" w:color="000000" w:themeColor="text1"/>
        </w:rPr>
        <w:t>e</w:t>
      </w:r>
      <w:r w:rsidRPr="00E246E2">
        <w:rPr>
          <w:color w:val="000000" w:themeColor="text1"/>
          <w:u w:val="single" w:color="000000" w:themeColor="text1"/>
        </w:rPr>
        <w:t xml:space="preserve"> term contained in a provision of law must be construed to mean the biennial state general appropriations act.</w:t>
      </w:r>
    </w:p>
    <w:p w14:paraId="28F64985" w14:textId="70C1EFEC" w:rsidR="00857499" w:rsidRPr="007B1B46"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 xml:space="preserve">Nothing in this section prevents the General Assembly from enacting a supplemental appropriations </w:t>
      </w:r>
      <w:r>
        <w:rPr>
          <w:color w:val="000000" w:themeColor="text1"/>
          <w:u w:val="single" w:color="000000" w:themeColor="text1"/>
        </w:rPr>
        <w:t>act</w:t>
      </w:r>
      <w:r w:rsidRPr="00E246E2">
        <w:rPr>
          <w:color w:val="000000" w:themeColor="text1"/>
          <w:u w:val="single" w:color="000000" w:themeColor="text1"/>
        </w:rPr>
        <w:t xml:space="preserve"> or a capital reserve fund appropriations </w:t>
      </w:r>
      <w:r>
        <w:rPr>
          <w:color w:val="000000" w:themeColor="text1"/>
          <w:u w:val="single" w:color="000000" w:themeColor="text1"/>
        </w:rPr>
        <w:t>act</w:t>
      </w:r>
      <w:r w:rsidRPr="00E246E2">
        <w:rPr>
          <w:color w:val="000000" w:themeColor="text1"/>
          <w:u w:val="single" w:color="000000" w:themeColor="text1"/>
        </w:rPr>
        <w:t xml:space="preserve"> in the manner authorized by law in even</w:t>
      </w:r>
      <w:r w:rsidR="000E1A69">
        <w:rPr>
          <w:color w:val="000000" w:themeColor="text1"/>
          <w:u w:val="single" w:color="000000" w:themeColor="text1"/>
        </w:rPr>
        <w:noBreakHyphen/>
      </w:r>
      <w:r w:rsidRPr="00E246E2">
        <w:rPr>
          <w:color w:val="000000" w:themeColor="text1"/>
          <w:u w:val="single" w:color="000000" w:themeColor="text1"/>
        </w:rPr>
        <w:t>numbered or odd</w:t>
      </w:r>
      <w:r w:rsidR="000E1A69">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w:t>
      </w:r>
    </w:p>
    <w:p w14:paraId="0B6F2BE4" w14:textId="77777777" w:rsidR="00857499"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F382A0" w14:textId="357582F5" w:rsidR="003F11CB" w:rsidRDefault="00857499" w:rsidP="0085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E246E2">
        <w:rPr>
          <w:color w:val="000000" w:themeColor="text1"/>
          <w:u w:color="000000" w:themeColor="text1"/>
        </w:rPr>
        <w:t xml:space="preserve">This act takes effect July 1, </w:t>
      </w:r>
      <w:r w:rsidR="0083787B" w:rsidRPr="00E246E2">
        <w:rPr>
          <w:color w:val="000000" w:themeColor="text1"/>
          <w:u w:color="000000" w:themeColor="text1"/>
        </w:rPr>
        <w:t>20</w:t>
      </w:r>
      <w:r w:rsidR="0083787B">
        <w:rPr>
          <w:color w:val="000000" w:themeColor="text1"/>
          <w:u w:color="000000" w:themeColor="text1"/>
        </w:rPr>
        <w:t>2</w:t>
      </w:r>
      <w:r w:rsidR="006E625A">
        <w:rPr>
          <w:color w:val="000000" w:themeColor="text1"/>
          <w:u w:color="000000" w:themeColor="text1"/>
        </w:rPr>
        <w:t>2</w:t>
      </w:r>
      <w:r w:rsidR="0083787B" w:rsidRPr="00E246E2">
        <w:rPr>
          <w:color w:val="000000" w:themeColor="text1"/>
          <w:u w:color="000000" w:themeColor="text1"/>
        </w:rPr>
        <w:t xml:space="preserve"> </w:t>
      </w:r>
      <w:r w:rsidRPr="00E246E2">
        <w:rPr>
          <w:color w:val="000000" w:themeColor="text1"/>
          <w:u w:color="000000" w:themeColor="text1"/>
        </w:rPr>
        <w:t xml:space="preserve">and first applies to the </w:t>
      </w:r>
      <w:r w:rsidR="0083787B" w:rsidRPr="00E246E2">
        <w:rPr>
          <w:color w:val="000000" w:themeColor="text1"/>
          <w:u w:color="000000" w:themeColor="text1"/>
        </w:rPr>
        <w:t>20</w:t>
      </w:r>
      <w:r w:rsidR="0083787B">
        <w:rPr>
          <w:color w:val="000000" w:themeColor="text1"/>
          <w:u w:color="000000" w:themeColor="text1"/>
        </w:rPr>
        <w:t>2</w:t>
      </w:r>
      <w:r w:rsidR="006E625A">
        <w:rPr>
          <w:color w:val="000000" w:themeColor="text1"/>
          <w:u w:color="000000" w:themeColor="text1"/>
        </w:rPr>
        <w:t>3</w:t>
      </w:r>
      <w:r w:rsidR="0083787B" w:rsidRPr="00E246E2">
        <w:rPr>
          <w:color w:val="000000" w:themeColor="text1"/>
          <w:u w:color="000000" w:themeColor="text1"/>
        </w:rPr>
        <w:t xml:space="preserve"> </w:t>
      </w:r>
      <w:r w:rsidRPr="00E246E2">
        <w:rPr>
          <w:color w:val="000000" w:themeColor="text1"/>
          <w:u w:color="000000" w:themeColor="text1"/>
        </w:rPr>
        <w:t xml:space="preserve">session of the General Assembly and the </w:t>
      </w:r>
      <w:r w:rsidR="006E625A" w:rsidRPr="00E246E2">
        <w:rPr>
          <w:color w:val="000000" w:themeColor="text1"/>
          <w:u w:color="000000" w:themeColor="text1"/>
        </w:rPr>
        <w:t>20</w:t>
      </w:r>
      <w:r w:rsidR="006E625A">
        <w:rPr>
          <w:color w:val="000000" w:themeColor="text1"/>
          <w:u w:color="000000" w:themeColor="text1"/>
        </w:rPr>
        <w:t>23</w:t>
      </w:r>
      <w:r w:rsidR="006E625A" w:rsidRPr="00E246E2">
        <w:rPr>
          <w:color w:val="000000" w:themeColor="text1"/>
          <w:u w:color="000000" w:themeColor="text1"/>
        </w:rPr>
        <w:t xml:space="preserve"> </w:t>
      </w:r>
      <w:r w:rsidRPr="00E246E2">
        <w:rPr>
          <w:color w:val="000000" w:themeColor="text1"/>
          <w:u w:color="000000" w:themeColor="text1"/>
        </w:rPr>
        <w:t>biennial state general appropriations act, including the Governor</w:t>
      </w:r>
      <w:r w:rsidRPr="002B06B8">
        <w:rPr>
          <w:color w:val="000000" w:themeColor="text1"/>
          <w:u w:color="000000" w:themeColor="text1"/>
        </w:rPr>
        <w:t>’</w:t>
      </w:r>
      <w:r w:rsidRPr="00E246E2">
        <w:rPr>
          <w:color w:val="000000" w:themeColor="text1"/>
          <w:u w:color="000000" w:themeColor="text1"/>
        </w:rPr>
        <w:t>s executive budget.</w:t>
      </w:r>
    </w:p>
    <w:p w14:paraId="3718217B" w14:textId="7526553C" w:rsidR="00717182" w:rsidRDefault="000E1A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2D80E03" w14:textId="77777777" w:rsidR="009152B4" w:rsidRDefault="009152B4" w:rsidP="009152B4">
      <w:pPr>
        <w:suppressAutoHyphens/>
        <w:jc w:val="both"/>
        <w:rPr>
          <w:rFonts w:eastAsia="Times New Roman"/>
        </w:rPr>
      </w:pPr>
    </w:p>
    <w:sectPr w:rsidR="009152B4" w:rsidSect="009152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9B306" w14:textId="77777777" w:rsidR="0083787B" w:rsidRDefault="0083787B" w:rsidP="00522CE0">
      <w:r>
        <w:separator/>
      </w:r>
    </w:p>
  </w:endnote>
  <w:endnote w:type="continuationSeparator" w:id="0">
    <w:p w14:paraId="557EEF39" w14:textId="77777777" w:rsidR="0083787B" w:rsidRDefault="008378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144058-A27A-43F6-BCC9-C99A28E25DA8}"/>
    <w:embedBold r:id="rId2" w:fontKey="{3D05748E-6655-403F-ABCC-2EE1E57F84B6}"/>
  </w:font>
  <w:font w:name="Calibri">
    <w:panose1 w:val="020F0502020204030204"/>
    <w:charset w:val="00"/>
    <w:family w:val="swiss"/>
    <w:pitch w:val="variable"/>
    <w:sig w:usb0="E4002EFF" w:usb1="C000247B" w:usb2="00000009" w:usb3="00000000" w:csb0="000001FF" w:csb1="00000000"/>
    <w:embedRegular r:id="rId3" w:fontKey="{A18E0E1E-8392-4F63-8A1E-D73114CA5D5F}"/>
    <w:embedBold r:id="rId4" w:fontKey="{A0AB783C-309B-4314-BD42-BAD1983C354A}"/>
  </w:font>
  <w:font w:name="Segoe UI">
    <w:panose1 w:val="020B0502040204020203"/>
    <w:charset w:val="00"/>
    <w:family w:val="swiss"/>
    <w:pitch w:val="variable"/>
    <w:sig w:usb0="E4002EFF" w:usb1="C000E47F" w:usb2="00000009" w:usb3="00000000" w:csb0="000001FF" w:csb1="00000000"/>
    <w:embedRegular r:id="rId5" w:fontKey="{76CD6F8F-9451-4141-852B-4A238DD3449C}"/>
  </w:font>
  <w:font w:name="Cambria">
    <w:panose1 w:val="02040503050406030204"/>
    <w:charset w:val="00"/>
    <w:family w:val="roman"/>
    <w:pitch w:val="variable"/>
    <w:sig w:usb0="E00006FF" w:usb1="420024FF" w:usb2="02000000" w:usb3="00000000" w:csb0="0000019F" w:csb1="00000000"/>
    <w:embedRegular r:id="rId6" w:fontKey="{930AA44A-C92A-4708-892D-03B2A9B8F0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322F2" w14:textId="5D0CECCB" w:rsidR="00717182" w:rsidRPr="009152B4" w:rsidRDefault="009152B4" w:rsidP="009152B4">
    <w:pPr>
      <w:pStyle w:val="Footer"/>
      <w:tabs>
        <w:tab w:val="clear" w:pos="4680"/>
        <w:tab w:val="clear" w:pos="9360"/>
        <w:tab w:val="center" w:pos="2995"/>
      </w:tabs>
      <w:spacing w:before="120"/>
    </w:pPr>
    <w:r>
      <w:t>[377]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0EFD4" w14:textId="77777777" w:rsidR="0083787B" w:rsidRDefault="0083787B" w:rsidP="00522CE0">
      <w:r>
        <w:separator/>
      </w:r>
    </w:p>
  </w:footnote>
  <w:footnote w:type="continuationSeparator" w:id="0">
    <w:p w14:paraId="3EC81E33" w14:textId="77777777" w:rsidR="0083787B" w:rsidRDefault="008378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INE.KMM.SFT"/>
    <w:docVar w:name="CoverAttorneyInitials" w:val="KMM"/>
    <w:docVar w:name="CoverAttorneyLastName" w:val="Moffitt"/>
    <w:docVar w:name="CoverBillType" w:val="b"/>
    <w:docVar w:name="CoverSenator" w:val="SFT"/>
    <w:docVar w:name="dvBillNumber" w:val="377"/>
    <w:docVar w:name="dvBillNumberPrefix" w:val="S. "/>
    <w:docVar w:name="dvOriginalBody" w:val="Senate"/>
    <w:docVar w:name="fulldraftpath" w:val="L:\S-RES\SFT\003SINE.KMM.SFT.DOCX"/>
    <w:docVar w:name="NameofBody" w:val="S"/>
    <w:docVar w:name="vgroup2" w:val="S-RES"/>
  </w:docVars>
  <w:rsids>
    <w:rsidRoot w:val="003F11CB"/>
    <w:rsid w:val="00042AC1"/>
    <w:rsid w:val="00046516"/>
    <w:rsid w:val="00072458"/>
    <w:rsid w:val="0007601D"/>
    <w:rsid w:val="000B0720"/>
    <w:rsid w:val="000B5EAF"/>
    <w:rsid w:val="000D12BC"/>
    <w:rsid w:val="000E1A69"/>
    <w:rsid w:val="000E26C6"/>
    <w:rsid w:val="001315B2"/>
    <w:rsid w:val="00170561"/>
    <w:rsid w:val="00174988"/>
    <w:rsid w:val="001815CE"/>
    <w:rsid w:val="00186AC9"/>
    <w:rsid w:val="00197DF1"/>
    <w:rsid w:val="001B3DD9"/>
    <w:rsid w:val="001B7E5D"/>
    <w:rsid w:val="001C47ED"/>
    <w:rsid w:val="001D3BAC"/>
    <w:rsid w:val="00216025"/>
    <w:rsid w:val="00245C4E"/>
    <w:rsid w:val="002C1321"/>
    <w:rsid w:val="002C2031"/>
    <w:rsid w:val="002C5896"/>
    <w:rsid w:val="002D3BED"/>
    <w:rsid w:val="002D4BCD"/>
    <w:rsid w:val="00307C2B"/>
    <w:rsid w:val="00315D04"/>
    <w:rsid w:val="00383247"/>
    <w:rsid w:val="003D6E2B"/>
    <w:rsid w:val="003E7597"/>
    <w:rsid w:val="003F11CB"/>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625A"/>
    <w:rsid w:val="006F56CF"/>
    <w:rsid w:val="00717182"/>
    <w:rsid w:val="00720D40"/>
    <w:rsid w:val="007318D4"/>
    <w:rsid w:val="00765784"/>
    <w:rsid w:val="007A4390"/>
    <w:rsid w:val="007E5CB7"/>
    <w:rsid w:val="0080510F"/>
    <w:rsid w:val="008314D2"/>
    <w:rsid w:val="0083787B"/>
    <w:rsid w:val="00857499"/>
    <w:rsid w:val="00870F6F"/>
    <w:rsid w:val="008B2F42"/>
    <w:rsid w:val="008C3697"/>
    <w:rsid w:val="008E185F"/>
    <w:rsid w:val="008F023B"/>
    <w:rsid w:val="00904E16"/>
    <w:rsid w:val="009152B4"/>
    <w:rsid w:val="009162B3"/>
    <w:rsid w:val="00927C62"/>
    <w:rsid w:val="00983951"/>
    <w:rsid w:val="00984124"/>
    <w:rsid w:val="00984640"/>
    <w:rsid w:val="00995C37"/>
    <w:rsid w:val="009C118A"/>
    <w:rsid w:val="00A02011"/>
    <w:rsid w:val="00A4011E"/>
    <w:rsid w:val="00A86015"/>
    <w:rsid w:val="00A9594E"/>
    <w:rsid w:val="00AE59C8"/>
    <w:rsid w:val="00AF50E3"/>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137355"/>
  <w15:docId w15:val="{82A1D306-08D7-41A9-9B0F-5B89C47C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0E26C6"/>
    <w:rPr>
      <w:sz w:val="16"/>
      <w:szCs w:val="16"/>
    </w:rPr>
  </w:style>
  <w:style w:type="paragraph" w:styleId="CommentText">
    <w:name w:val="annotation text"/>
    <w:basedOn w:val="Normal"/>
    <w:link w:val="CommentTextChar"/>
    <w:uiPriority w:val="99"/>
    <w:semiHidden/>
    <w:unhideWhenUsed/>
    <w:rsid w:val="000E26C6"/>
    <w:rPr>
      <w:sz w:val="20"/>
      <w:szCs w:val="20"/>
    </w:rPr>
  </w:style>
  <w:style w:type="character" w:customStyle="1" w:styleId="CommentTextChar">
    <w:name w:val="Comment Text Char"/>
    <w:basedOn w:val="DefaultParagraphFont"/>
    <w:link w:val="CommentText"/>
    <w:uiPriority w:val="99"/>
    <w:semiHidden/>
    <w:rsid w:val="000E26C6"/>
    <w:rPr>
      <w:sz w:val="20"/>
      <w:szCs w:val="20"/>
    </w:rPr>
  </w:style>
  <w:style w:type="paragraph" w:styleId="CommentSubject">
    <w:name w:val="annotation subject"/>
    <w:basedOn w:val="CommentText"/>
    <w:next w:val="CommentText"/>
    <w:link w:val="CommentSubjectChar"/>
    <w:uiPriority w:val="99"/>
    <w:semiHidden/>
    <w:unhideWhenUsed/>
    <w:rsid w:val="000E26C6"/>
    <w:rPr>
      <w:b/>
      <w:bCs/>
    </w:rPr>
  </w:style>
  <w:style w:type="character" w:customStyle="1" w:styleId="CommentSubjectChar">
    <w:name w:val="Comment Subject Char"/>
    <w:basedOn w:val="CommentTextChar"/>
    <w:link w:val="CommentSubject"/>
    <w:uiPriority w:val="99"/>
    <w:semiHidden/>
    <w:rsid w:val="000E26C6"/>
    <w:rPr>
      <w:b/>
      <w:bCs/>
      <w:sz w:val="20"/>
      <w:szCs w:val="20"/>
    </w:rPr>
  </w:style>
  <w:style w:type="paragraph" w:styleId="BalloonText">
    <w:name w:val="Balloon Text"/>
    <w:basedOn w:val="Normal"/>
    <w:link w:val="BalloonTextChar"/>
    <w:uiPriority w:val="99"/>
    <w:semiHidden/>
    <w:unhideWhenUsed/>
    <w:rsid w:val="000E2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3454</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 Text of Previous Version (Dec. 9, 2020) - South Carolina Legislature Online</dc:title>
  <dc:subject/>
  <dc:creator>Rebecca Landau</dc:creator>
  <cp:keywords/>
  <dc:description/>
  <cp:lastModifiedBy>Sade Wilson</cp:lastModifiedBy>
  <cp:revision>2</cp:revision>
  <cp:lastPrinted>2020-11-20T17:02:00Z</cp:lastPrinted>
  <dcterms:created xsi:type="dcterms:W3CDTF">2020-12-12T05:02:00Z</dcterms:created>
  <dcterms:modified xsi:type="dcterms:W3CDTF">2020-12-12T05:02:00Z</dcterms:modified>
</cp:coreProperties>
</file>