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6D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BF54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665247" w:rsidRDefault="00BF54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w:t>
      </w:r>
      <w:r w:rsidR="00665247">
        <w:t>, 2022</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665247">
      <w:pPr>
        <w:tabs>
          <w:tab w:val="right" w:pos="5933"/>
        </w:tabs>
        <w:suppressAutoHyphens/>
      </w:pPr>
      <w:r>
        <w:tab/>
      </w:r>
      <w:r>
        <w:rPr>
          <w:b/>
          <w:sz w:val="36"/>
        </w:rPr>
        <w:t>H. 3821</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and Herbkersman</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BF54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3/08</w:t>
      </w:r>
      <w:r w:rsidR="00665247">
        <w:t>/22--S.</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665247" w:rsidRPr="00665247" w:rsidRDefault="00665247" w:rsidP="00665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P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47" w:rsidRDefault="00665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5247" w:rsidSect="007616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D44" w:rsidRDefault="007C4D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3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Pr>
          <w:color w:val="000000" w:themeColor="text1"/>
          <w:u w:color="000000" w:themeColor="text1"/>
        </w:rPr>
        <w:t xml:space="preserve"> OF CUSTODIAL PROPERTY</w:t>
      </w:r>
      <w:r w:rsidRPr="00F31620">
        <w:rPr>
          <w:color w:val="000000" w:themeColor="text1"/>
          <w:u w:color="000000" w:themeColor="text1"/>
        </w:rPr>
        <w:t xml:space="preserve"> MAY BE MADE </w:t>
      </w:r>
      <w:r>
        <w:rPr>
          <w:color w:val="000000" w:themeColor="text1"/>
          <w:u w:color="000000" w:themeColor="text1"/>
        </w:rPr>
        <w:t>FOR THE BENEFIT OF A</w:t>
      </w:r>
      <w:r w:rsidRPr="00F31620">
        <w:rPr>
          <w:color w:val="000000" w:themeColor="text1"/>
          <w:u w:color="000000" w:themeColor="text1"/>
        </w:rPr>
        <w:t xml:space="preserve"> MINOR; AND TO REPEAL ARTICLE 5</w:t>
      </w:r>
      <w:r>
        <w:rPr>
          <w:color w:val="000000" w:themeColor="text1"/>
          <w:u w:color="000000" w:themeColor="text1"/>
        </w:rPr>
        <w:t xml:space="preserve"> OF</w:t>
      </w:r>
      <w:r w:rsidRPr="00F31620">
        <w:rPr>
          <w:color w:val="000000" w:themeColor="text1"/>
          <w:u w:color="000000" w:themeColor="text1"/>
        </w:rPr>
        <w:t xml:space="preserve"> CHAPTER 5, TITLE 63 RELATING TO THE “</w:t>
      </w:r>
      <w:r>
        <w:rPr>
          <w:color w:val="000000" w:themeColor="text1"/>
          <w:u w:color="000000" w:themeColor="text1"/>
        </w:rPr>
        <w:t xml:space="preserve">SOUTH CAROLINA </w:t>
      </w:r>
      <w:r w:rsidRPr="00F31620">
        <w:rPr>
          <w:color w:val="000000" w:themeColor="text1"/>
          <w:u w:color="000000" w:themeColor="text1"/>
        </w:rPr>
        <w:t>UNIFORM GIFTS TO MINORS ACT”.</w:t>
      </w:r>
      <w:bookmarkEnd w:id="1"/>
    </w:p>
    <w:p w:rsidR="0010776B" w:rsidRDefault="00BF5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54BC" w:rsidRDefault="00BF5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C539C0"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E3818">
        <w:rPr>
          <w:color w:val="000000" w:themeColor="text1"/>
          <w:u w:color="000000" w:themeColor="text1"/>
        </w:rPr>
        <w:t>Chapter 5, Title 63 of the 1976 Code is amended by adding:</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Uniform Transfers to Minors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D75AC">
        <w:noBreakHyphen/>
      </w:r>
      <w:r>
        <w:t>5</w:t>
      </w:r>
      <w:r w:rsidR="00AD75AC">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AD75AC" w:rsidRPr="00AD75AC">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AD75AC" w:rsidRPr="00AD75AC">
        <w:rPr>
          <w:color w:val="000000" w:themeColor="text1"/>
          <w:u w:color="000000" w:themeColor="text1"/>
        </w:rPr>
        <w:t>’</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605.</w:t>
      </w:r>
      <w:r>
        <w:tab/>
      </w:r>
      <w:r w:rsidRPr="004A10CE">
        <w:rPr>
          <w:color w:val="000000" w:themeColor="text1"/>
          <w:u w:color="000000" w:themeColor="text1"/>
        </w:rPr>
        <w:t>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Adult</w:t>
      </w:r>
      <w:r w:rsidR="00AD75AC" w:rsidRPr="00AD75AC">
        <w:rPr>
          <w:color w:val="000000" w:themeColor="text1"/>
          <w:u w:color="000000" w:themeColor="text1"/>
        </w:rPr>
        <w:t>’</w:t>
      </w:r>
      <w:r w:rsidRPr="004A10CE">
        <w:rPr>
          <w:color w:val="000000" w:themeColor="text1"/>
          <w:u w:color="000000" w:themeColor="text1"/>
        </w:rPr>
        <w:t xml:space="preserve"> means an individual who has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Benefit plan</w:t>
      </w:r>
      <w:r w:rsidR="00AD75AC" w:rsidRPr="00AD75AC">
        <w:rPr>
          <w:color w:val="000000" w:themeColor="text1"/>
          <w:u w:color="000000" w:themeColor="text1"/>
        </w:rPr>
        <w:t>’</w:t>
      </w:r>
      <w:r w:rsidRPr="004A10CE">
        <w:rPr>
          <w:color w:val="000000" w:themeColor="text1"/>
          <w:u w:color="000000" w:themeColor="text1"/>
        </w:rPr>
        <w:t xml:space="preserve"> means an employer</w:t>
      </w:r>
      <w:r w:rsidR="00AD75AC" w:rsidRPr="00AD75AC">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Broker</w:t>
      </w:r>
      <w:r w:rsidR="00AD75AC" w:rsidRPr="00AD75AC">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AD75AC" w:rsidRPr="00AD75AC">
        <w:rPr>
          <w:color w:val="000000" w:themeColor="text1"/>
          <w:u w:color="000000" w:themeColor="text1"/>
        </w:rPr>
        <w:t>’</w:t>
      </w:r>
      <w:r w:rsidRPr="004A10CE">
        <w:rPr>
          <w:color w:val="000000" w:themeColor="text1"/>
          <w:u w:color="000000" w:themeColor="text1"/>
        </w:rPr>
        <w:t>s own account or for the account of others.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Conservator</w:t>
      </w:r>
      <w:r w:rsidR="00AD75AC" w:rsidRPr="00AD75AC">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AD75AC" w:rsidRPr="00AD75AC">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Court</w:t>
      </w:r>
      <w:r w:rsidR="00AD75AC" w:rsidRPr="00AD75AC">
        <w:rPr>
          <w:color w:val="000000" w:themeColor="text1"/>
          <w:u w:color="000000" w:themeColor="text1"/>
        </w:rPr>
        <w:t>’</w:t>
      </w:r>
      <w:r w:rsidRPr="004A10CE">
        <w:rPr>
          <w:color w:val="000000" w:themeColor="text1"/>
          <w:u w:color="000000" w:themeColor="text1"/>
        </w:rPr>
        <w:t xml:space="preserve"> means the probate court where the minor resides, or if the m</w:t>
      </w:r>
      <w:r>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Custodial property</w:t>
      </w:r>
      <w:r w:rsidR="00AD75AC" w:rsidRPr="00AD75AC">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Custodian</w:t>
      </w:r>
      <w:r w:rsidR="00AD75AC" w:rsidRPr="00AD75AC">
        <w:rPr>
          <w:color w:val="000000" w:themeColor="text1"/>
          <w:u w:color="000000" w:themeColor="text1"/>
        </w:rPr>
        <w:t>’</w:t>
      </w:r>
      <w:r w:rsidRPr="004A10CE">
        <w:rPr>
          <w:color w:val="000000" w:themeColor="text1"/>
          <w:u w:color="000000" w:themeColor="text1"/>
        </w:rPr>
        <w:t xml:space="preserve"> means a person so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Financial institution</w:t>
      </w:r>
      <w:r w:rsidR="00AD75AC" w:rsidRPr="00AD75AC">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Legal representative</w:t>
      </w:r>
      <w:r w:rsidR="00AD75AC" w:rsidRPr="00AD75AC">
        <w:rPr>
          <w:color w:val="000000" w:themeColor="text1"/>
          <w:u w:color="000000" w:themeColor="text1"/>
        </w:rPr>
        <w:t>’</w:t>
      </w:r>
      <w:r w:rsidRPr="004A10CE">
        <w:rPr>
          <w:color w:val="000000" w:themeColor="text1"/>
          <w:u w:color="000000" w:themeColor="text1"/>
        </w:rPr>
        <w:t xml:space="preserve"> means an individual</w:t>
      </w:r>
      <w:r w:rsidR="00AD75AC" w:rsidRPr="00AD75AC">
        <w:rPr>
          <w:color w:val="000000" w:themeColor="text1"/>
          <w:u w:color="000000" w:themeColor="text1"/>
        </w:rPr>
        <w:t>’</w:t>
      </w:r>
      <w:r w:rsidRPr="004A10CE">
        <w:rPr>
          <w:color w:val="000000" w:themeColor="text1"/>
          <w:u w:color="000000" w:themeColor="text1"/>
        </w:rPr>
        <w:t>s personal representative or</w:t>
      </w:r>
      <w:r>
        <w:rPr>
          <w:color w:val="000000" w:themeColor="text1"/>
          <w:u w:color="000000" w:themeColor="text1"/>
        </w:rPr>
        <w:t xml:space="preserve"> </w:t>
      </w:r>
      <w:r w:rsidRPr="004A10CE">
        <w:rPr>
          <w:color w:val="000000" w:themeColor="text1"/>
          <w:u w:color="000000" w:themeColor="text1"/>
        </w:rPr>
        <w:t>conservator.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AD75AC" w:rsidRPr="00AD75AC">
        <w:rPr>
          <w:color w:val="000000" w:themeColor="text1"/>
          <w:u w:color="000000" w:themeColor="text1"/>
        </w:rPr>
        <w:t>’</w:t>
      </w:r>
      <w:r w:rsidRPr="004A10CE">
        <w:rPr>
          <w:color w:val="000000" w:themeColor="text1"/>
          <w:u w:color="000000" w:themeColor="text1"/>
        </w:rPr>
        <w:t>s family</w:t>
      </w:r>
      <w:r w:rsidR="00AD75AC" w:rsidRPr="00AD75AC">
        <w:rPr>
          <w:color w:val="000000" w:themeColor="text1"/>
          <w:u w:color="000000" w:themeColor="text1"/>
        </w:rPr>
        <w:t>’</w:t>
      </w:r>
      <w:r w:rsidRPr="004A10CE">
        <w:rPr>
          <w:color w:val="000000" w:themeColor="text1"/>
          <w:u w:color="000000" w:themeColor="text1"/>
        </w:rPr>
        <w:t xml:space="preserve"> means the minor</w:t>
      </w:r>
      <w:r w:rsidR="00AD75AC" w:rsidRPr="00AD75AC">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Minor</w:t>
      </w:r>
      <w:r w:rsidR="00AD75AC" w:rsidRPr="00AD75AC">
        <w:rPr>
          <w:color w:val="000000" w:themeColor="text1"/>
          <w:u w:color="000000" w:themeColor="text1"/>
        </w:rPr>
        <w:t>’</w:t>
      </w:r>
      <w:r w:rsidRPr="004A10CE">
        <w:rPr>
          <w:color w:val="000000" w:themeColor="text1"/>
          <w:u w:color="000000" w:themeColor="text1"/>
        </w:rPr>
        <w:t xml:space="preserve"> means an individual who has not attained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w:t>
      </w:r>
      <w:r w:rsidR="00AD75AC" w:rsidRPr="00AD75AC">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Personal representative</w:t>
      </w:r>
      <w:r w:rsidR="00AD75AC" w:rsidRPr="00AD75AC">
        <w:rPr>
          <w:color w:val="000000" w:themeColor="text1"/>
          <w:u w:color="000000" w:themeColor="text1"/>
        </w:rPr>
        <w:t>’</w:t>
      </w:r>
      <w:r w:rsidRPr="004A10CE">
        <w:rPr>
          <w:color w:val="000000" w:themeColor="text1"/>
          <w:u w:color="000000" w:themeColor="text1"/>
        </w:rPr>
        <w:t xml:space="preserve"> means an executor, administrator, successor</w:t>
      </w:r>
      <w:r>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AD75AC" w:rsidRPr="00AD75AC">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State</w:t>
      </w:r>
      <w:r w:rsidR="00AD75AC" w:rsidRPr="00AD75AC">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w:t>
      </w:r>
      <w:r w:rsidR="00AD75AC" w:rsidRPr="00AD75AC">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Transferor</w:t>
      </w:r>
      <w:r w:rsidR="00AD75AC" w:rsidRPr="00AD75AC">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AD75AC" w:rsidRPr="00AD75AC">
        <w:rPr>
          <w:color w:val="000000" w:themeColor="text1"/>
          <w:u w:color="000000" w:themeColor="text1"/>
        </w:rPr>
        <w:t>‘</w:t>
      </w:r>
      <w:r w:rsidRPr="004A10CE">
        <w:rPr>
          <w:color w:val="000000" w:themeColor="text1"/>
          <w:u w:color="000000" w:themeColor="text1"/>
        </w:rPr>
        <w:t>Trust company</w:t>
      </w:r>
      <w:r w:rsidR="00AD75AC" w:rsidRPr="00AD75AC">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To reflect the broader scope and the unlimited types of property to which the new Act will apply, a number of definitional changes have 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b) of this Act may dictate the use of insured institutions as depositories, without having the Act so specify.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AD75AC" w:rsidRPr="00AD75AC">
        <w:rPr>
          <w:color w:val="000000" w:themeColor="text1"/>
          <w:u w:color="000000" w:themeColor="text1"/>
        </w:rPr>
        <w:t>’</w:t>
      </w:r>
      <w:r w:rsidRPr="004A10CE">
        <w:rPr>
          <w:color w:val="000000" w:themeColor="text1"/>
          <w:u w:color="000000" w:themeColor="text1"/>
        </w:rPr>
        <w:t>s property, whether general, limited or temporary, and includes a committee, tutor, or curator of the minor</w:t>
      </w:r>
      <w:r w:rsidR="00AD75AC" w:rsidRPr="00AD75AC">
        <w:rPr>
          <w:color w:val="000000" w:themeColor="text1"/>
          <w:u w:color="000000" w:themeColor="text1"/>
        </w:rPr>
        <w:t>’</w:t>
      </w:r>
      <w:r w:rsidRPr="004A10CE">
        <w:rPr>
          <w:color w:val="000000" w:themeColor="text1"/>
          <w:u w:color="000000" w:themeColor="text1"/>
        </w:rPr>
        <w:t>s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Proceeds of custodial property, both immediate and remote, are themselves custodial property, as is the case under UGMA.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Custodial property is defined without reference to the physical location of the property, even if it has one. No useful purpose would be served by restricting the application of the Act to, for example, real estate “located in this state,” since a conveyance recorded in the state of the property</w:t>
      </w:r>
      <w:r w:rsidR="00AD75AC" w:rsidRPr="00AD75AC">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(11). This definition of “minor” retains the historical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be retained as the age of majority under this Act. For states that have reduced the age of majority in their versions of the 1966 Act, </w:t>
      </w:r>
      <w:r w:rsidRPr="00CD7699">
        <w:rPr>
          <w:color w:val="000000" w:themeColor="text1"/>
          <w:u w:color="000000" w:themeColor="text1"/>
        </w:rPr>
        <w:t>SECTION 22(c) of this Act provides that a change back to twenty</w:t>
      </w:r>
      <w:r w:rsidR="00AD75AC">
        <w:rPr>
          <w:color w:val="000000" w:themeColor="text1"/>
          <w:u w:color="000000" w:themeColor="text1"/>
        </w:rPr>
        <w:noBreakHyphen/>
      </w:r>
      <w:r w:rsidRPr="00CD7699">
        <w:rPr>
          <w:color w:val="000000" w:themeColor="text1"/>
          <w:u w:color="000000" w:themeColor="text1"/>
        </w:rPr>
        <w:t>one will not affect custodianships that have already terminated at an earlier age. South Carolina did not include the optional subsection (c) of that section</w:t>
      </w:r>
      <w:r>
        <w:rPr>
          <w:color w:val="000000" w:themeColor="text1"/>
          <w:u w:color="000000" w:themeColor="text1"/>
        </w:rPr>
        <w:t>, codified herein as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 xml:space="preserve">710, </w:t>
      </w:r>
      <w:r w:rsidRPr="00CD7699">
        <w:rPr>
          <w:color w:val="000000" w:themeColor="text1"/>
          <w:u w:color="000000" w:themeColor="text1"/>
        </w:rPr>
        <w:t>in its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(13). The definition of the term “personal representative” is based upon that definition in Sec. 1</w:t>
      </w:r>
      <w:r w:rsidR="00AD75AC">
        <w:rPr>
          <w:color w:val="000000" w:themeColor="text1"/>
          <w:u w:color="000000" w:themeColor="text1"/>
        </w:rPr>
        <w:noBreakHyphen/>
      </w:r>
      <w:r w:rsidRPr="004A10CE">
        <w:rPr>
          <w:color w:val="000000" w:themeColor="text1"/>
          <w:u w:color="000000" w:themeColor="text1"/>
        </w:rPr>
        <w:t>201(30) of the Uniform Probate Code.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AD75AC" w:rsidRPr="00AD75AC">
        <w:rPr>
          <w:color w:val="000000" w:themeColor="text1"/>
          <w:u w:color="000000" w:themeColor="text1"/>
        </w:rPr>
        <w:t>’</w:t>
      </w:r>
      <w:r w:rsidRPr="004A10CE">
        <w:rPr>
          <w:color w:val="000000" w:themeColor="text1"/>
          <w:u w:color="000000" w:themeColor="text1"/>
        </w:rPr>
        <w:t>s own assets to a custodianship by the legal representative of a minor, all of which are now permitted by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Pr="00B14468">
        <w:rPr>
          <w:color w:val="000000" w:themeColor="text1"/>
          <w:u w:color="000000" w:themeColor="text1"/>
        </w:rPr>
        <w:t>min</w:t>
      </w:r>
      <w:r w:rsidRPr="004A10CE">
        <w:rPr>
          <w:color w:val="000000" w:themeColor="text1"/>
          <w:u w:color="000000" w:themeColor="text1"/>
        </w:rPr>
        <w:t>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Item</w:t>
      </w:r>
      <w:r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AD75AC" w:rsidRPr="00AD75AC">
        <w:rPr>
          <w:color w:val="000000" w:themeColor="text1"/>
          <w:u w:color="000000" w:themeColor="text1"/>
        </w:rPr>
        <w:t>‘</w:t>
      </w:r>
      <w:r w:rsidRPr="004A10CE">
        <w:rPr>
          <w:color w:val="000000" w:themeColor="text1"/>
          <w:u w:color="000000" w:themeColor="text1"/>
        </w:rPr>
        <w:t>The South Carolina Uniform Transfers to Minors Act</w:t>
      </w:r>
      <w:r w:rsidR="00AD75AC" w:rsidRPr="00AD75AC">
        <w:rPr>
          <w:color w:val="000000" w:themeColor="text1"/>
          <w:u w:color="000000" w:themeColor="text1"/>
        </w:rPr>
        <w:t>’</w:t>
      </w:r>
      <w:r w:rsidRPr="004A10CE">
        <w:rPr>
          <w:color w:val="000000" w:themeColor="text1"/>
          <w:u w:color="000000" w:themeColor="text1"/>
        </w:rPr>
        <w:t xml:space="preserve"> in</w:t>
      </w:r>
      <w:r>
        <w:rPr>
          <w:color w:val="000000" w:themeColor="text1"/>
          <w:u w:color="000000" w:themeColor="text1"/>
        </w:rPr>
        <w:t xml:space="preserve"> the designation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AD75AC">
        <w:rPr>
          <w:color w:val="000000" w:themeColor="text1"/>
          <w:u w:color="000000" w:themeColor="text1"/>
        </w:rPr>
        <w:noBreakHyphen/>
      </w:r>
      <w:r w:rsidRPr="004A10CE">
        <w:rPr>
          <w:color w:val="000000" w:themeColor="text1"/>
          <w:u w:color="000000" w:themeColor="text1"/>
        </w:rPr>
        <w:t>of</w:t>
      </w:r>
      <w:r w:rsidR="00AD75AC">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AD75AC">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(c) recognizes that residents of the enacting state may elect to have the law of another state apply to a transfer. That choice is valid if a nexus with the chosen state exists at the time of the transfer. If personal jurisdiction can be obtained in the enacting state </w:t>
      </w:r>
      <w:r w:rsidRPr="004A10CE">
        <w:rPr>
          <w:color w:val="000000" w:themeColor="text1"/>
          <w:u w:color="000000" w:themeColor="text1"/>
        </w:rPr>
        <w:lastRenderedPageBreak/>
        <w:t>under other law apart from this Act, the custodianship may be enforced in its courts, which are directed to apply the law of the state elected by the transferor.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If the choice of law under subsection (a) or (c) is ineffective because of the absence of the required nexus, the transfer may still be effective under the Act of another state with which a nexus does exist.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AD75AC" w:rsidRPr="00AD75AC">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AD75AC" w:rsidRPr="00AD75AC">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w:t>
      </w:r>
      <w:r w:rsidRPr="004A10CE">
        <w:rPr>
          <w:color w:val="000000" w:themeColor="text1"/>
          <w:u w:color="000000" w:themeColor="text1"/>
        </w:rPr>
        <w:lastRenderedPageBreak/>
        <w:t xml:space="preserve">“transfer” is irrevocable and indefeasibly vests ownership of the interest in the minor under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Pr>
          <w:color w:val="000000" w:themeColor="text1"/>
          <w:u w:color="000000" w:themeColor="text1"/>
        </w:rPr>
        <w:t xml:space="preserve"> custodian “nominated ... under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to whom the transfer must be made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(b)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(b).</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Pr>
          <w:color w:val="000000" w:themeColor="text1"/>
          <w:u w:color="000000" w:themeColor="text1"/>
        </w:rPr>
        <w:t>of a minor pursuant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all persons so nominated as custodian die </w:t>
      </w:r>
      <w:r w:rsidRPr="004A10CE">
        <w:rPr>
          <w:color w:val="000000" w:themeColor="text1"/>
          <w:u w:color="000000" w:themeColor="text1"/>
        </w:rPr>
        <w:lastRenderedPageBreak/>
        <w:t xml:space="preserve">before the transfer or are unable, decline, or are ineligible to serve, the personal representative or the trustee, as the case may be, shall designate the custodian, subject to the approval of the court from among those eligible to serve as custodian for property of that kind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any alternate named) fails to qualify.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Pr>
          <w:color w:val="000000" w:themeColor="text1"/>
          <w:u w:color="000000" w:themeColor="text1"/>
        </w:rPr>
        <w:t>t to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AD75AC" w:rsidRPr="00AD75AC">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A custodianship may be created under this section even though not specifically authorized by the transferor, the testator, or the settlor 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AD75AC" w:rsidRPr="00AD75AC">
        <w:rPr>
          <w:color w:val="000000" w:themeColor="text1"/>
          <w:u w:color="000000" w:themeColor="text1"/>
        </w:rPr>
        <w:t>’</w:t>
      </w:r>
      <w:r w:rsidRPr="004A10CE">
        <w:rPr>
          <w:color w:val="000000" w:themeColor="text1"/>
          <w:u w:color="000000" w:themeColor="text1"/>
        </w:rPr>
        <w:t>s benefit at a time other than the time of the minor</w:t>
      </w:r>
      <w:r w:rsidR="00AD75AC" w:rsidRPr="00AD75AC">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AD75AC" w:rsidRPr="00AD75AC">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(b)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or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AD75AC" w:rsidRPr="00AD75AC">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This section is new and, like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and existing guardianships covered by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and 6</w:t>
      </w:r>
      <w:r>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AD75AC" w:rsidRPr="00AD75AC">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AD75AC" w:rsidRPr="00AD75AC">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AD75AC" w:rsidRPr="00AD75AC">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AD75AC" w:rsidRPr="00AD75AC">
        <w:rPr>
          <w:color w:val="000000" w:themeColor="text1"/>
          <w:u w:color="000000" w:themeColor="text1"/>
        </w:rPr>
        <w:t>’</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AD75AC" w:rsidRPr="00AD75AC">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AD75AC" w:rsidRPr="00AD75AC">
        <w:rPr>
          <w:color w:val="000000" w:themeColor="text1"/>
          <w:u w:color="000000" w:themeColor="text1"/>
        </w:rPr>
        <w:t>’</w:t>
      </w:r>
      <w:r w:rsidRPr="004A10CE">
        <w:rPr>
          <w:color w:val="000000" w:themeColor="text1"/>
          <w:u w:color="000000" w:themeColor="text1"/>
        </w:rPr>
        <w: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Pr>
          <w:color w:val="000000" w:themeColor="text1"/>
          <w:u w:color="000000" w:themeColor="text1"/>
        </w:rPr>
        <w:t>item</w:t>
      </w:r>
      <w:r w:rsidRPr="004A10CE">
        <w:rPr>
          <w:color w:val="000000" w:themeColor="text1"/>
          <w:u w:color="000000" w:themeColor="text1"/>
        </w:rPr>
        <w:t>s (1)(ii) and (7) of subsection (a):</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75AC">
        <w:rPr>
          <w:color w:val="000000" w:themeColor="text1"/>
          <w:u w:color="000000" w:themeColor="text1"/>
        </w:rPr>
        <w:t>‘</w:t>
      </w:r>
      <w:r w:rsidR="00FE3818" w:rsidRPr="004A10CE">
        <w:rPr>
          <w:color w:val="000000" w:themeColor="text1"/>
          <w:u w:color="000000" w:themeColor="text1"/>
        </w:rPr>
        <w:t xml:space="preserve">TRANSFER UNDER THE SOUTH CAROLINA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AD75AC" w:rsidRPr="00AD75AC">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or a guardian of the minor. This optional limitation has been deleted because it would preclude the </w:t>
      </w:r>
      <w:r w:rsidRPr="004A10CE">
        <w:rPr>
          <w:color w:val="000000" w:themeColor="text1"/>
          <w:u w:color="000000" w:themeColor="text1"/>
        </w:rPr>
        <w:lastRenderedPageBreak/>
        <w:t>use of an individual and uncompensated custodian if no qualified or willing family member is available.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(3) covers the irrevocable transfer of ownership of life and endowment insurance policies and annuity contracts.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(4) covers the</w:t>
      </w:r>
      <w:r w:rsidRPr="004A10CE">
        <w:rPr>
          <w:i/>
          <w:color w:val="000000" w:themeColor="text1"/>
          <w:u w:color="000000" w:themeColor="text1"/>
        </w:rPr>
        <w:t xml:space="preserve"> irrevocable</w:t>
      </w:r>
      <w:r w:rsidRPr="004A10CE">
        <w:rPr>
          <w:color w:val="000000" w:themeColor="text1"/>
          <w:u w:color="000000" w:themeColor="text1"/>
        </w:rPr>
        <w:t xml:space="preserve"> exercise of a power of appointment and the</w:t>
      </w:r>
      <w:r w:rsidRPr="004A10CE">
        <w:rPr>
          <w:i/>
          <w:color w:val="000000" w:themeColor="text1"/>
          <w:u w:color="000000" w:themeColor="text1"/>
        </w:rPr>
        <w:t xml:space="preserve"> irrevocable</w:t>
      </w:r>
      <w:r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Pr="004A10CE">
        <w:rPr>
          <w:color w:val="000000" w:themeColor="text1"/>
          <w:u w:color="000000" w:themeColor="text1"/>
        </w:rPr>
        <w:t xml:space="preserve">s. Examples would include </w:t>
      </w:r>
      <w:r w:rsidRPr="004A10CE">
        <w:rPr>
          <w:color w:val="000000" w:themeColor="text1"/>
          <w:u w:color="000000" w:themeColor="text1"/>
        </w:rPr>
        <w:lastRenderedPageBreak/>
        <w:t>nonregistered securities, partnership interests, and tangible personal property not subject to title certificates.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(a)(2).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Rev. Rul. 57</w:t>
      </w:r>
      <w:r w:rsidR="00AD75AC">
        <w:rPr>
          <w:color w:val="000000" w:themeColor="text1"/>
          <w:u w:color="000000" w:themeColor="text1"/>
        </w:rPr>
        <w:noBreakHyphen/>
      </w:r>
      <w:r w:rsidRPr="004A10CE">
        <w:rPr>
          <w:color w:val="000000" w:themeColor="text1"/>
          <w:u w:color="000000" w:themeColor="text1"/>
        </w:rPr>
        <w:t>366, C.B. 1957</w:t>
      </w:r>
      <w:r w:rsidR="00AD75AC">
        <w:rPr>
          <w:color w:val="000000" w:themeColor="text1"/>
          <w:u w:color="000000" w:themeColor="text1"/>
        </w:rPr>
        <w:noBreakHyphen/>
      </w:r>
      <w:r w:rsidRPr="004A10CE">
        <w:rPr>
          <w:color w:val="000000" w:themeColor="text1"/>
          <w:u w:color="000000" w:themeColor="text1"/>
        </w:rPr>
        <w:t>2, 618;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Rev. Rul. 70</w:t>
      </w:r>
      <w:r w:rsidR="00AD75AC">
        <w:rPr>
          <w:color w:val="000000" w:themeColor="text1"/>
          <w:u w:color="000000" w:themeColor="text1"/>
        </w:rPr>
        <w:noBreakHyphen/>
      </w:r>
      <w:r w:rsidRPr="004A10CE">
        <w:rPr>
          <w:color w:val="000000" w:themeColor="text1"/>
          <w:u w:color="000000" w:themeColor="text1"/>
        </w:rPr>
        <w:t>348, C.B. 1970</w:t>
      </w:r>
      <w:r w:rsidR="00AD75AC">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AD75AC" w:rsidRPr="00AD75AC">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AD75AC" w:rsidRPr="00AD75AC">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AD75AC" w:rsidRPr="00AD75AC">
        <w:rPr>
          <w:color w:val="000000" w:themeColor="text1"/>
          <w:u w:color="000000" w:themeColor="text1"/>
        </w:rPr>
        <w:t>’</w:t>
      </w:r>
      <w:r w:rsidRPr="004A10CE">
        <w:rPr>
          <w:color w:val="000000" w:themeColor="text1"/>
          <w:u w:color="000000" w:themeColor="text1"/>
        </w:rPr>
        <w:t>s incidents of ownership in custodial property. See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665</w:t>
      </w:r>
      <w:r w:rsidRPr="004A10CE">
        <w:rPr>
          <w:color w:val="000000" w:themeColor="text1"/>
          <w:u w:color="000000" w:themeColor="text1"/>
        </w:rPr>
        <w:t xml:space="preserve"> and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w:t>
      </w:r>
      <w:r w:rsidRPr="004A10CE">
        <w:rPr>
          <w:color w:val="000000" w:themeColor="text1"/>
          <w:u w:color="000000" w:themeColor="text1"/>
        </w:rPr>
        <w:lastRenderedPageBreak/>
        <w:t>of closely held stock when a donor retains voting rights by serving 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(a)(2) amended in 1986.</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AD75AC" w:rsidRPr="00AD75AC">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AD75AC" w:rsidRPr="00AD75AC">
        <w:rPr>
          <w:color w:val="000000" w:themeColor="text1"/>
          <w:u w:color="000000" w:themeColor="text1"/>
        </w:rPr>
        <w:t>’</w:t>
      </w:r>
      <w:r w:rsidRPr="004A10CE">
        <w:rPr>
          <w:color w:val="000000" w:themeColor="text1"/>
          <w:u w:color="000000" w:themeColor="text1"/>
        </w:rPr>
        <w:t>s powers under those other Acts.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Pr>
          <w:color w:val="000000" w:themeColor="text1"/>
          <w:u w:color="000000" w:themeColor="text1"/>
        </w:rPr>
        <w:t>ections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and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w:t>
      </w:r>
      <w:r w:rsidRPr="004A10CE">
        <w:rPr>
          <w:color w:val="000000" w:themeColor="text1"/>
          <w:u w:color="000000" w:themeColor="text1"/>
        </w:rPr>
        <w:lastRenderedPageBreak/>
        <w:t xml:space="preserve">statutory age of majority lower than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700</w:t>
      </w:r>
      <w:r w:rsidRPr="004A10CE">
        <w:rPr>
          <w:color w:val="000000" w:themeColor="text1"/>
          <w:u w:color="000000" w:themeColor="text1"/>
        </w:rPr>
        <w:t xml:space="preserve"> and the Comment thereto.</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(c) concerning possession and control;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Pr>
          <w:color w:val="000000" w:themeColor="text1"/>
          <w:u w:color="000000" w:themeColor="text1"/>
        </w:rPr>
        <w:t>rve as custodian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Pr>
          <w:color w:val="000000" w:themeColor="text1"/>
          <w:u w:color="000000" w:themeColor="text1"/>
        </w:rPr>
        <w:t xml:space="preserve">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 or designated under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AD75AC" w:rsidRPr="00AD75AC">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AD75AC" w:rsidRPr="00AD75AC">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Pr>
          <w:color w:val="000000" w:themeColor="text1"/>
          <w:u w:color="000000" w:themeColor="text1"/>
        </w:rPr>
        <w:t xml:space="preserve">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(a) makes the transfer ineffective. See Comment to </w:t>
      </w:r>
      <w:r>
        <w:rPr>
          <w:color w:val="000000" w:themeColor="text1"/>
          <w:u w:color="000000" w:themeColor="text1"/>
        </w:rPr>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w:t>
      </w:r>
      <w:r w:rsidRPr="004A10CE">
        <w:rPr>
          <w:color w:val="000000" w:themeColor="text1"/>
          <w:u w:color="000000" w:themeColor="text1"/>
        </w:rPr>
        <w:lastRenderedPageBreak/>
        <w:t>real estate, now subject to custodianship. If the minor is married, it would be possible for homestead, dower, or community property rights to attach to real estate (or other property) acquired after marriage by the minor through a transfer to a custodianship for his benefit. The quoted language qualifying the minor</w:t>
      </w:r>
      <w:r w:rsidR="00AD75AC" w:rsidRPr="00AD75AC">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AD75AC" w:rsidRPr="00AD75AC">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680</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AD75AC" w:rsidRPr="00AD75AC">
        <w:rPr>
          <w:color w:val="000000" w:themeColor="text1"/>
          <w:u w:color="000000" w:themeColor="text1"/>
        </w:rPr>
        <w:t>’</w:t>
      </w:r>
      <w:r w:rsidRPr="004A10CE">
        <w:rPr>
          <w:color w:val="000000" w:themeColor="text1"/>
          <w:u w:color="000000" w:themeColor="text1"/>
        </w:rPr>
        <w:t>s discretion and without liability to the minor or the minor</w:t>
      </w:r>
      <w:r w:rsidR="00AD75AC" w:rsidRPr="00AD75AC">
        <w:rPr>
          <w:color w:val="000000" w:themeColor="text1"/>
          <w:u w:color="000000" w:themeColor="text1"/>
        </w:rPr>
        <w:t>’</w:t>
      </w:r>
      <w:r w:rsidRPr="004A10CE">
        <w:rPr>
          <w:color w:val="000000" w:themeColor="text1"/>
          <w:u w:color="000000" w:themeColor="text1"/>
        </w:rPr>
        <w:t>s estate, may retain any custodial property received from a transferor.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AD75AC" w:rsidRPr="00AD75AC">
        <w:rPr>
          <w:color w:val="000000" w:themeColor="text1"/>
          <w:u w:color="000000" w:themeColor="text1"/>
        </w:rPr>
        <w:t>’</w:t>
      </w:r>
      <w:r w:rsidRPr="004A10CE">
        <w:rPr>
          <w:color w:val="000000" w:themeColor="text1"/>
          <w:u w:color="000000" w:themeColor="text1"/>
        </w:rPr>
        <w:t xml:space="preserve">s estate is the sole beneficiary, or (ii) the life of another person in whom the minor has an insurable interest only to the extent </w:t>
      </w:r>
      <w:r w:rsidRPr="004A10CE">
        <w:rPr>
          <w:color w:val="000000" w:themeColor="text1"/>
          <w:u w:color="000000" w:themeColor="text1"/>
        </w:rPr>
        <w:lastRenderedPageBreak/>
        <w:t>that the minor, the minor</w:t>
      </w:r>
      <w:r w:rsidR="00AD75AC" w:rsidRPr="00AD75AC">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AD75AC" w:rsidRPr="00AD75AC">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E3818" w:rsidRPr="004A10CE" w:rsidRDefault="00AD75A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5AC">
        <w:rPr>
          <w:color w:val="000000" w:themeColor="text1"/>
          <w:u w:color="000000" w:themeColor="text1"/>
        </w:rPr>
        <w:t>‘</w:t>
      </w:r>
      <w:r w:rsidR="00FE3818">
        <w:rPr>
          <w:color w:val="000000" w:themeColor="text1"/>
          <w:u w:color="000000" w:themeColor="text1"/>
        </w:rPr>
        <w:t xml:space="preserve">as a custodian for __________ </w:t>
      </w:r>
      <w:r w:rsidR="00FE3818" w:rsidRPr="004A10CE">
        <w:rPr>
          <w:color w:val="000000" w:themeColor="text1"/>
          <w:u w:color="000000" w:themeColor="text1"/>
        </w:rPr>
        <w:t>(name of minor) under the South Carolina Uniform Transfers to Minors Act</w:t>
      </w:r>
      <w:r w:rsidRPr="00AD75AC">
        <w:rPr>
          <w:color w:val="000000" w:themeColor="text1"/>
          <w:u w:color="000000" w:themeColor="text1"/>
        </w:rPr>
        <w:t>’</w:t>
      </w:r>
      <w:r w:rsidR="00FE3818"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AD75AC" w:rsidRPr="00AD75AC">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Pr>
          <w:color w:val="000000" w:themeColor="text1"/>
          <w:u w:color="000000" w:themeColor="text1"/>
        </w:rPr>
        <w:t>fourteen</w:t>
      </w:r>
      <w:r w:rsidRPr="004A10CE">
        <w:rPr>
          <w:color w:val="000000" w:themeColor="text1"/>
          <w:u w:color="000000" w:themeColor="text1"/>
        </w:rPr>
        <w:t xml:space="preserve"> years.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AD75AC">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AD75AC" w:rsidRPr="00AD75AC">
        <w:rPr>
          <w:color w:val="000000" w:themeColor="text1"/>
          <w:u w:color="000000" w:themeColor="text1"/>
        </w:rPr>
        <w:t>’</w:t>
      </w:r>
      <w:r w:rsidRPr="004A10CE">
        <w:rPr>
          <w:color w:val="000000" w:themeColor="text1"/>
          <w:u w:color="000000" w:themeColor="text1"/>
        </w:rPr>
        <w:t>s life, provided the minor</w:t>
      </w:r>
      <w:r w:rsidR="00AD75AC" w:rsidRPr="00AD75AC">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AD75AC" w:rsidRPr="00AD75AC">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AD75AC" w:rsidRPr="00AD75AC">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AD75AC" w:rsidRPr="00AD75AC">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AD75AC" w:rsidRPr="00AD75AC">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AD75AC" w:rsidRPr="00AD75AC">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660</w:t>
      </w:r>
      <w:r w:rsidRPr="004A10CE">
        <w:rPr>
          <w:color w:val="000000" w:themeColor="text1"/>
          <w:u w:color="000000" w:themeColor="text1"/>
        </w:rPr>
        <w:t>. This approach permits the Act to be self</w:t>
      </w:r>
      <w:r w:rsidR="00AD75AC">
        <w:rPr>
          <w:color w:val="000000" w:themeColor="text1"/>
          <w:u w:color="000000" w:themeColor="text1"/>
        </w:rPr>
        <w:noBreakHyphen/>
      </w:r>
      <w:r w:rsidRPr="004A10CE">
        <w:rPr>
          <w:color w:val="000000" w:themeColor="text1"/>
          <w:u w:color="000000" w:themeColor="text1"/>
        </w:rPr>
        <w:t>contained and more readily understandable by volunteer, non</w:t>
      </w:r>
      <w:r w:rsidR="00AD75AC">
        <w:rPr>
          <w:color w:val="000000" w:themeColor="text1"/>
          <w:u w:color="000000" w:themeColor="text1"/>
        </w:rPr>
        <w:noBreakHyphen/>
      </w:r>
      <w:r w:rsidRPr="004A10CE">
        <w:rPr>
          <w:color w:val="000000" w:themeColor="text1"/>
          <w:u w:color="000000" w:themeColor="text1"/>
        </w:rPr>
        <w:t xml:space="preserve">professional fiduciaries, who most often serve as custodians. It is intended that the authority granted includes the powers most often suggested for custodians, such as the power to borrow, whether at interest or interest free, the power to invest in common trust funds, and the </w:t>
      </w:r>
      <w:r w:rsidRPr="004A10CE">
        <w:rPr>
          <w:color w:val="000000" w:themeColor="text1"/>
          <w:u w:color="000000" w:themeColor="text1"/>
        </w:rPr>
        <w:lastRenderedPageBreak/>
        <w:t>power to enter contracts that extend beyond the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AD75AC" w:rsidRPr="00AD75AC">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AD75AC" w:rsidRPr="00AD75AC">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AD75AC">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AD75AC">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AD75AC">
        <w:rPr>
          <w:color w:val="000000" w:themeColor="text1"/>
          <w:u w:color="000000" w:themeColor="text1"/>
        </w:rPr>
        <w:noBreakHyphen/>
      </w:r>
      <w:r w:rsidRPr="004A10CE">
        <w:rPr>
          <w:color w:val="000000" w:themeColor="text1"/>
          <w:u w:color="000000" w:themeColor="text1"/>
        </w:rPr>
        <w:t>484, C.B. 1956</w:t>
      </w:r>
      <w:r w:rsidR="00AD75AC">
        <w:rPr>
          <w:color w:val="000000" w:themeColor="text1"/>
          <w:u w:color="000000" w:themeColor="text1"/>
        </w:rPr>
        <w:noBreakHyphen/>
      </w:r>
      <w:r w:rsidRPr="004A10CE">
        <w:rPr>
          <w:color w:val="000000" w:themeColor="text1"/>
          <w:u w:color="000000" w:themeColor="text1"/>
        </w:rPr>
        <w:t xml:space="preserve">2, </w:t>
      </w:r>
      <w:r w:rsidRPr="004A10CE">
        <w:rPr>
          <w:color w:val="000000" w:themeColor="text1"/>
          <w:u w:color="000000" w:themeColor="text1"/>
        </w:rPr>
        <w:lastRenderedPageBreak/>
        <w:t>23; Rev. Rul. 59</w:t>
      </w:r>
      <w:r w:rsidR="00AD75AC">
        <w:rPr>
          <w:color w:val="000000" w:themeColor="text1"/>
          <w:u w:color="000000" w:themeColor="text1"/>
        </w:rPr>
        <w:noBreakHyphen/>
      </w:r>
      <w:r w:rsidRPr="004A10CE">
        <w:rPr>
          <w:color w:val="000000" w:themeColor="text1"/>
          <w:u w:color="000000" w:themeColor="text1"/>
        </w:rPr>
        <w:t>357, C.B. 1959</w:t>
      </w:r>
      <w:r w:rsidR="00AD75AC">
        <w:rPr>
          <w:color w:val="000000" w:themeColor="text1"/>
          <w:u w:color="000000" w:themeColor="text1"/>
        </w:rPr>
        <w:noBreakHyphen/>
      </w:r>
      <w:r w:rsidRPr="004A10CE">
        <w:rPr>
          <w:color w:val="000000" w:themeColor="text1"/>
          <w:u w:color="000000" w:themeColor="text1"/>
        </w:rPr>
        <w:t>2, 212. However, Reg. 1.662(a)</w:t>
      </w:r>
      <w:r w:rsidR="00AD75AC">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AD75AC" w:rsidRPr="00AD75AC">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AD75AC" w:rsidRPr="00AD75AC">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AD75AC" w:rsidRPr="00AD75AC">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Pr="00ED4C37">
        <w:rPr>
          <w:color w:val="000000" w:themeColor="text1"/>
          <w:u w:color="000000" w:themeColor="text1"/>
        </w:rPr>
        <w:t>P</w:t>
      </w:r>
      <w:r>
        <w:rPr>
          <w:color w:val="000000" w:themeColor="text1"/>
          <w:u w:color="000000" w:themeColor="text1"/>
        </w:rPr>
        <w:t>aragraph</w:t>
      </w:r>
      <w:r w:rsidRPr="004A10CE">
        <w:rPr>
          <w:color w:val="000000" w:themeColor="text1"/>
          <w:u w:color="000000" w:themeColor="text1"/>
        </w:rPr>
        <w:t xml:space="preserve"> 80.4.4 (1981).</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AD75AC" w:rsidRPr="00AD75AC">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AD75AC">
        <w:rPr>
          <w:color w:val="000000" w:themeColor="text1"/>
          <w:u w:color="000000" w:themeColor="text1"/>
        </w:rPr>
        <w:noBreakHyphen/>
      </w:r>
      <w:r w:rsidRPr="004A10CE">
        <w:rPr>
          <w:color w:val="000000" w:themeColor="text1"/>
          <w:u w:color="000000" w:themeColor="text1"/>
        </w:rPr>
        <w:t>ordered expenditures for enforceable claims. </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AD75AC" w:rsidRPr="00AD75AC">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AD75AC" w:rsidRPr="00AD75AC">
        <w:rPr>
          <w:color w:val="000000" w:themeColor="text1"/>
          <w:u w:color="000000" w:themeColor="text1"/>
        </w:rPr>
        <w:t>’</w:t>
      </w:r>
      <w:r w:rsidRPr="004A10CE">
        <w:rPr>
          <w:color w:val="000000" w:themeColor="text1"/>
          <w:u w:color="000000" w:themeColor="text1"/>
        </w:rPr>
        <w:t>s duties.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Except as provided in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a custodian need not give a bond.</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CF6D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AD75AC" w:rsidRPr="00AD75AC">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AD75AC" w:rsidRPr="00AD75AC">
        <w:rPr>
          <w:color w:val="000000" w:themeColor="text1"/>
          <w:u w:color="000000" w:themeColor="text1"/>
        </w:rPr>
        <w:t>’</w:t>
      </w:r>
      <w:r w:rsidRPr="004A10CE">
        <w:rPr>
          <w:color w:val="000000" w:themeColor="text1"/>
          <w:u w:color="000000" w:themeColor="text1"/>
        </w:rPr>
        <w:t>s designation;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4C6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carries forward, but shortens and simplifies, Section 6 of the 1966 Act, with no substantive change intended. The 1966 revision permitted a </w:t>
      </w:r>
      <w:r>
        <w:rPr>
          <w:color w:val="000000" w:themeColor="text1"/>
          <w:u w:color="000000" w:themeColor="text1"/>
        </w:rPr>
        <w:t>fourteen</w:t>
      </w:r>
      <w:r w:rsidR="00AD75AC">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(12).</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AD75AC">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695</w:t>
      </w:r>
      <w:r w:rsidRPr="004A10CE">
        <w:rPr>
          <w:color w:val="000000" w:themeColor="text1"/>
          <w:u w:color="000000" w:themeColor="text1"/>
        </w:rPr>
        <w:t xml:space="preserve"> and the Comment thereto.</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or designated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Pr>
          <w:color w:val="000000" w:themeColor="text1"/>
          <w:u w:color="000000" w:themeColor="text1"/>
        </w:rPr>
        <w:t>6</w:t>
      </w:r>
      <w:r w:rsidRPr="004A10CE">
        <w:rPr>
          <w:color w:val="000000" w:themeColor="text1"/>
          <w:u w:color="000000" w:themeColor="text1"/>
        </w:rPr>
        <w:t>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615</w:t>
      </w:r>
      <w:r w:rsidRPr="004A10CE">
        <w:rPr>
          <w:color w:val="000000" w:themeColor="text1"/>
          <w:u w:color="000000" w:themeColor="text1"/>
        </w:rPr>
        <w:t>; otherwise the transferor or the transferor</w:t>
      </w:r>
      <w:r w:rsidR="00AD75AC" w:rsidRPr="00AD75AC">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as successor </w:t>
      </w:r>
      <w:r w:rsidRPr="004A10CE">
        <w:rPr>
          <w:color w:val="000000" w:themeColor="text1"/>
          <w:u w:color="000000" w:themeColor="text1"/>
        </w:rPr>
        <w:lastRenderedPageBreak/>
        <w:t>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Pr>
          <w:color w:val="000000" w:themeColor="text1"/>
          <w:u w:color="000000" w:themeColor="text1"/>
        </w:rPr>
        <w:t>fourteen</w:t>
      </w:r>
      <w:r w:rsidRPr="004A10CE">
        <w:rPr>
          <w:color w:val="000000" w:themeColor="text1"/>
          <w:u w:color="000000" w:themeColor="text1"/>
        </w:rPr>
        <w:t xml:space="preserve"> years or fails to act within </w:t>
      </w:r>
      <w:r>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AD75AC" w:rsidRPr="00AD75AC">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AD75AC" w:rsidRPr="00AD75AC">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Pr>
          <w:color w:val="000000" w:themeColor="text1"/>
          <w:u w:color="000000" w:themeColor="text1"/>
        </w:rPr>
        <w:t>fourteen</w:t>
      </w:r>
      <w:r w:rsidRPr="004A10CE">
        <w:rPr>
          <w:color w:val="000000" w:themeColor="text1"/>
          <w:u w:color="000000" w:themeColor="text1"/>
        </w:rPr>
        <w:t xml:space="preserve">, may appoint the successor custodian, or failing that, that the conservator of the minor or a court appointee </w:t>
      </w:r>
      <w:r w:rsidRPr="004A10CE">
        <w:rPr>
          <w:color w:val="000000" w:themeColor="text1"/>
          <w:u w:color="000000" w:themeColor="text1"/>
        </w:rPr>
        <w:lastRenderedPageBreak/>
        <w:t>shall serve. It also covers disclaimer of the office by designated or successor custodians or by nominated future custodians who decline to serve.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AD75AC" w:rsidRPr="00AD75AC">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AD75AC" w:rsidRPr="00AD75AC">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605</w:t>
      </w:r>
      <w:r w:rsidRPr="004A10CE">
        <w:rPr>
          <w:color w:val="000000" w:themeColor="text1"/>
          <w:u w:color="000000" w:themeColor="text1"/>
        </w:rPr>
        <w:t>(10)), his conservator, or a trust company.</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Pr>
          <w:color w:val="000000" w:themeColor="text1"/>
          <w:u w:color="000000" w:themeColor="text1"/>
        </w:rPr>
        <w:t>fourteen</w:t>
      </w:r>
      <w:r w:rsidRPr="004A10CE">
        <w:rPr>
          <w:color w:val="000000" w:themeColor="text1"/>
          <w:u w:color="000000" w:themeColor="text1"/>
        </w:rPr>
        <w:t xml:space="preserve"> years, the minor</w:t>
      </w:r>
      <w:r w:rsidR="00AD75AC" w:rsidRPr="00AD75AC">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AD75AC" w:rsidRPr="00AD75AC">
        <w:rPr>
          <w:color w:val="000000" w:themeColor="text1"/>
          <w:u w:color="000000" w:themeColor="text1"/>
        </w:rPr>
        <w:t>’</w:t>
      </w:r>
      <w:r w:rsidRPr="004A10CE">
        <w:rPr>
          <w:color w:val="000000" w:themeColor="text1"/>
          <w:u w:color="000000" w:themeColor="text1"/>
        </w:rPr>
        <w:t>s family, a transferor, or a transferor</w:t>
      </w:r>
      <w:r w:rsidR="00AD75AC" w:rsidRPr="00AD75AC">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AD75AC" w:rsidRPr="00AD75AC">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xml:space="preserve"> to which the minor or the minor</w:t>
      </w:r>
      <w:r w:rsidR="00AD75AC" w:rsidRPr="00AD75AC">
        <w:rPr>
          <w:color w:val="000000" w:themeColor="text1"/>
          <w:u w:color="000000" w:themeColor="text1"/>
        </w:rPr>
        <w:t>’</w:t>
      </w:r>
      <w:r w:rsidRPr="004A10CE">
        <w:rPr>
          <w:color w:val="000000" w:themeColor="text1"/>
          <w:u w:color="000000" w:themeColor="text1"/>
        </w:rPr>
        <w:t>s legal representative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AD75AC" w:rsidRPr="00AD75AC">
        <w:rPr>
          <w:color w:val="000000" w:themeColor="text1"/>
          <w:u w:color="000000" w:themeColor="text1"/>
        </w:rPr>
        <w:t>’</w:t>
      </w:r>
      <w:r w:rsidRPr="004A10CE">
        <w:rPr>
          <w:color w:val="000000" w:themeColor="text1"/>
          <w:u w:color="000000" w:themeColor="text1"/>
        </w:rPr>
        <w:t>s legal representative to account.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Pr>
          <w:color w:val="000000" w:themeColor="text1"/>
          <w:u w:color="000000" w:themeColor="text1"/>
        </w:rPr>
        <w:t>r 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AD75AC" w:rsidRPr="00AD75AC">
        <w:rPr>
          <w:color w:val="000000" w:themeColor="text1"/>
          <w:u w:color="000000" w:themeColor="text1"/>
        </w:rPr>
        <w:t>’</w:t>
      </w:r>
      <w:r w:rsidRPr="004A10CE">
        <w:rPr>
          <w:color w:val="000000" w:themeColor="text1"/>
          <w:u w:color="000000" w:themeColor="text1"/>
        </w:rPr>
        <w:t>s legal representative), the minor</w:t>
      </w:r>
      <w:r w:rsidR="00AD75AC" w:rsidRPr="00AD75AC">
        <w:rPr>
          <w:color w:val="000000" w:themeColor="text1"/>
          <w:u w:color="000000" w:themeColor="text1"/>
        </w:rPr>
        <w:t>’</w:t>
      </w:r>
      <w:r w:rsidRPr="004A10CE">
        <w:rPr>
          <w:color w:val="000000" w:themeColor="text1"/>
          <w:u w:color="000000" w:themeColor="text1"/>
        </w:rPr>
        <w:t>s guardian of the person, and the successor custodian.</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also gives the same parties (other than a successor custodian) the right to seek recovery from the custodian for loss or diminution of custodial property resulting from successful claims by third persons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AD75AC" w:rsidRPr="00AD75AC">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AD75AC">
        <w:noBreakHyphen/>
      </w:r>
      <w:r>
        <w:t>5</w:t>
      </w:r>
      <w:r w:rsidR="00AD75AC">
        <w:noBreakHyphen/>
      </w:r>
      <w:r>
        <w:t>700.</w:t>
      </w:r>
      <w:r>
        <w:tab/>
      </w:r>
      <w:r w:rsidRPr="004A10CE">
        <w:rPr>
          <w:color w:val="000000" w:themeColor="text1"/>
          <w:u w:color="000000" w:themeColor="text1"/>
        </w:rPr>
        <w:t>The custodian shall transfer in an appropriate manner the custodial property to the minor or to the minor</w:t>
      </w:r>
      <w:r w:rsidR="00AD75AC" w:rsidRPr="00AD75AC">
        <w:rPr>
          <w:color w:val="000000" w:themeColor="text1"/>
          <w:u w:color="000000" w:themeColor="text1"/>
        </w:rPr>
        <w:t>’</w:t>
      </w:r>
      <w:r w:rsidRPr="004A10CE">
        <w:rPr>
          <w:color w:val="000000" w:themeColor="text1"/>
          <w:u w:color="000000" w:themeColor="text1"/>
        </w:rPr>
        <w:t>s estate upon the earlier of: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AD75AC" w:rsidRPr="00AD75AC">
        <w:rPr>
          <w:color w:val="000000" w:themeColor="text1"/>
          <w:u w:color="000000" w:themeColor="text1"/>
        </w:rPr>
        <w:t>’</w:t>
      </w:r>
      <w:r w:rsidRPr="004A10CE">
        <w:rPr>
          <w:color w:val="000000" w:themeColor="text1"/>
          <w:u w:color="000000" w:themeColor="text1"/>
        </w:rPr>
        <w:t xml:space="preserve">s attainment of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625</w:t>
      </w:r>
      <w:r w:rsidRPr="004A10CE">
        <w:rPr>
          <w:color w:val="000000" w:themeColor="text1"/>
          <w:u w:color="000000" w:themeColor="text1"/>
        </w:rPr>
        <w: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 or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AD75AC" w:rsidRPr="00AD75AC">
        <w:rPr>
          <w:color w:val="000000" w:themeColor="text1"/>
          <w:u w:color="000000" w:themeColor="text1"/>
        </w:rPr>
        <w:t>’</w:t>
      </w:r>
      <w:r w:rsidRPr="004A10CE">
        <w:rPr>
          <w:color w:val="000000" w:themeColor="text1"/>
          <w:u w:color="000000" w:themeColor="text1"/>
        </w:rPr>
        <w:t>s death.</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630</w:t>
      </w:r>
      <w:r w:rsidRPr="004A10CE">
        <w:rPr>
          <w:color w:val="000000" w:themeColor="text1"/>
          <w:u w:color="000000" w:themeColor="text1"/>
        </w:rPr>
        <w:t xml:space="preserve"> and by obligors of the minor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635</w:t>
      </w:r>
      <w:r w:rsidRPr="004A10CE">
        <w:rPr>
          <w:color w:val="000000" w:themeColor="text1"/>
          <w:u w:color="000000" w:themeColor="text1"/>
        </w:rPr>
        <w:t xml:space="preserve"> terminate upon the minor</w:t>
      </w:r>
      <w:r w:rsidR="00AD75AC" w:rsidRPr="00AD75AC">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650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AD75AC">
        <w:noBreakHyphen/>
      </w:r>
      <w:r>
        <w:t>5</w:t>
      </w:r>
      <w:r w:rsidR="00AD75AC">
        <w:noBreakHyphen/>
      </w:r>
      <w:r>
        <w:t>705.</w:t>
      </w:r>
      <w:r>
        <w:tab/>
      </w:r>
      <w:r w:rsidRPr="004A10CE">
        <w:rPr>
          <w:color w:val="000000" w:themeColor="text1"/>
          <w:u w:color="000000" w:themeColor="text1"/>
        </w:rPr>
        <w:t xml:space="preserve">This article applies to a transfer within the scope of Section </w:t>
      </w:r>
      <w:r>
        <w:rPr>
          <w:color w:val="000000" w:themeColor="text1"/>
          <w:u w:color="000000" w:themeColor="text1"/>
        </w:rPr>
        <w:t>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 xml:space="preserve"> made after its effective date if:</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AD75AC" w:rsidRPr="00AD75AC">
        <w:rPr>
          <w:color w:val="000000" w:themeColor="text1"/>
          <w:u w:color="000000" w:themeColor="text1"/>
        </w:rPr>
        <w:t>‘</w:t>
      </w:r>
      <w:r w:rsidRPr="004A10CE">
        <w:rPr>
          <w:color w:val="000000" w:themeColor="text1"/>
          <w:u w:color="000000" w:themeColor="text1"/>
        </w:rPr>
        <w:t>as custodian under the Uniform Gifts to Minors Act</w:t>
      </w:r>
      <w:r w:rsidR="00AD75AC" w:rsidRPr="00AD75AC">
        <w:rPr>
          <w:color w:val="000000" w:themeColor="text1"/>
          <w:u w:color="000000" w:themeColor="text1"/>
        </w:rPr>
        <w:t>’</w:t>
      </w:r>
      <w:r w:rsidRPr="004A10CE">
        <w:rPr>
          <w:color w:val="000000" w:themeColor="text1"/>
          <w:u w:color="000000" w:themeColor="text1"/>
        </w:rPr>
        <w:t xml:space="preserve"> or </w:t>
      </w:r>
      <w:r w:rsidR="00AD75AC" w:rsidRPr="00AD75AC">
        <w:rPr>
          <w:color w:val="000000" w:themeColor="text1"/>
          <w:u w:color="000000" w:themeColor="text1"/>
        </w:rPr>
        <w:t>‘</w:t>
      </w:r>
      <w:r w:rsidRPr="004A10CE">
        <w:rPr>
          <w:color w:val="000000" w:themeColor="text1"/>
          <w:u w:color="000000" w:themeColor="text1"/>
        </w:rPr>
        <w:t>as custodian under the Uniform Transfers to Minors Act</w:t>
      </w:r>
      <w:r w:rsidR="00AD75AC" w:rsidRPr="00AD75AC">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AD75AC" w:rsidRPr="00AD75AC">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Pr>
          <w:color w:val="000000" w:themeColor="text1"/>
          <w:u w:color="000000" w:themeColor="text1"/>
        </w:rPr>
        <w:t>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610</w:t>
      </w:r>
      <w:r w:rsidRPr="004A10CE">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AD75AC">
        <w:rPr>
          <w:color w:val="000000" w:themeColor="text1"/>
          <w:u w:color="000000" w:themeColor="text1"/>
        </w:rPr>
        <w:noBreakHyphen/>
      </w:r>
      <w:r>
        <w:rPr>
          <w:color w:val="000000" w:themeColor="text1"/>
          <w:u w:color="000000" w:themeColor="text1"/>
        </w:rPr>
        <w:t>5</w:t>
      </w:r>
      <w:r w:rsidR="00AD75AC">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AD75AC">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E3818" w:rsidRPr="004A10CE"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Pr>
          <w:color w:val="000000" w:themeColor="text1"/>
          <w:u w:color="000000" w:themeColor="text1"/>
        </w:rPr>
        <w:t>eighteen</w:t>
      </w:r>
      <w:r w:rsidRPr="004A10CE">
        <w:rPr>
          <w:color w:val="000000" w:themeColor="text1"/>
          <w:u w:color="000000" w:themeColor="text1"/>
        </w:rPr>
        <w:t xml:space="preserve"> or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years until all </w:t>
      </w:r>
      <w:r w:rsidRPr="004A10CE">
        <w:rPr>
          <w:color w:val="000000" w:themeColor="text1"/>
          <w:u w:color="000000" w:themeColor="text1"/>
        </w:rPr>
        <w:lastRenderedPageBreak/>
        <w:t>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AD75AC">
        <w:rPr>
          <w:color w:val="000000" w:themeColor="text1"/>
          <w:u w:color="000000" w:themeColor="text1"/>
        </w:rPr>
        <w:noBreakHyphen/>
      </w:r>
      <w:r w:rsidRPr="004A10CE">
        <w:rPr>
          <w:color w:val="000000" w:themeColor="text1"/>
          <w:u w:color="000000" w:themeColor="text1"/>
        </w:rPr>
        <w:t>109b of the Connecticut</w:t>
      </w:r>
      <w:r>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Pr>
          <w:color w:val="000000" w:themeColor="text1"/>
          <w:u w:color="000000" w:themeColor="text1"/>
        </w:rPr>
        <w:t>eighteen</w:t>
      </w:r>
      <w:r w:rsidRPr="004A10CE">
        <w:rPr>
          <w:color w:val="000000" w:themeColor="text1"/>
          <w:u w:color="000000" w:themeColor="text1"/>
        </w:rPr>
        <w:t xml:space="preserve">, but which adopt the recommended return to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Pr>
          <w:color w:val="000000" w:themeColor="text1"/>
          <w:u w:color="000000" w:themeColor="text1"/>
        </w:rPr>
        <w:t>twenty</w:t>
      </w:r>
      <w:r w:rsidR="00AD75AC">
        <w:rPr>
          <w:color w:val="000000" w:themeColor="text1"/>
          <w:u w:color="000000" w:themeColor="text1"/>
        </w:rPr>
        <w:noBreakHyphen/>
      </w:r>
      <w:r>
        <w:rPr>
          <w:color w:val="000000" w:themeColor="text1"/>
          <w:u w:color="000000" w:themeColor="text1"/>
        </w:rPr>
        <w:t>one</w:t>
      </w:r>
      <w:r w:rsidRPr="004A10CE">
        <w:rPr>
          <w:color w:val="000000" w:themeColor="text1"/>
          <w:u w:color="000000" w:themeColor="text1"/>
        </w:rPr>
        <w:t xml:space="preserve"> which terminated dur</w:t>
      </w:r>
      <w:r>
        <w:rPr>
          <w:color w:val="000000" w:themeColor="text1"/>
          <w:u w:color="000000" w:themeColor="text1"/>
        </w:rPr>
        <w:t xml:space="preserve">ing the period that the age of eighteen </w:t>
      </w:r>
      <w:r w:rsidRPr="004A10CE">
        <w:rPr>
          <w:color w:val="000000" w:themeColor="text1"/>
          <w:u w:color="000000" w:themeColor="text1"/>
        </w:rPr>
        <w:t>governed termination.</w:t>
      </w:r>
      <w:r>
        <w:rPr>
          <w:color w:val="000000" w:themeColor="text1"/>
          <w:u w:color="000000" w:themeColor="text1"/>
        </w:rPr>
        <w:t xml:space="preserve"> South Carolina did not include the optional subsection in its act.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AD75AC">
        <w:noBreakHyphen/>
      </w:r>
      <w:r>
        <w:t>5</w:t>
      </w:r>
      <w:r w:rsidR="00AD75AC">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BF54BC" w:rsidRDefault="00BF54B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rPr>
          <w:snapToGrid w:val="0"/>
        </w:rPr>
        <w:t>SECTION</w:t>
      </w:r>
      <w:r w:rsidRPr="00BE5AC8">
        <w:rPr>
          <w:snapToGrid w:val="0"/>
        </w:rPr>
        <w:tab/>
        <w:t>2.</w:t>
      </w:r>
      <w:r w:rsidRPr="00BE5AC8">
        <w:rPr>
          <w:snapToGrid w:val="0"/>
        </w:rPr>
        <w:tab/>
      </w:r>
      <w:r w:rsidRPr="00BE5AC8">
        <w:t>Section 62-1-201(49) is amended to read:</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“(49)</w:t>
      </w:r>
      <w:r w:rsidRPr="00BE5AC8">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BE5AC8">
        <w:noBreakHyphen/>
        <w:t>6</w:t>
      </w:r>
      <w:r w:rsidRPr="00BE5AC8">
        <w:noBreakHyphen/>
        <w:t xml:space="preserve">101 et seq.), custodial arrangements pursuant to the </w:t>
      </w:r>
      <w:r w:rsidRPr="00BE5AC8">
        <w:rPr>
          <w:strike/>
        </w:rPr>
        <w:t>South Carolina Uniform Gifts to Minors Act, Article 5, Chapter 5, Title 63,</w:t>
      </w:r>
      <w:r w:rsidRPr="00BE5AC8">
        <w:t xml:space="preserve"> </w:t>
      </w:r>
      <w:r w:rsidRPr="00BE5AC8">
        <w:rPr>
          <w:u w:val="single"/>
        </w:rPr>
        <w:t>South Carolina Uniform Transfer to Minors Act, Article 6, Chapter 5, Title 63,</w:t>
      </w:r>
      <w:r w:rsidRPr="00BE5AC8">
        <w:t xml:space="preserve">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SECTION</w:t>
      </w:r>
      <w:r w:rsidRPr="00BE5AC8">
        <w:tab/>
        <w:t>3.</w:t>
      </w:r>
      <w:r w:rsidRPr="00BE5AC8">
        <w:tab/>
        <w:t>Section 62</w:t>
      </w:r>
      <w:r w:rsidRPr="00BE5AC8">
        <w:noBreakHyphen/>
        <w:t>1</w:t>
      </w:r>
      <w:r w:rsidRPr="00BE5AC8">
        <w:noBreakHyphen/>
        <w:t>302(a)(2)(ii) is amended to read:</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“(a)(2)(ii)</w:t>
      </w:r>
      <w:r w:rsidRPr="00BE5AC8">
        <w:tab/>
        <w:t xml:space="preserve">gifts made pursuant to the </w:t>
      </w:r>
      <w:r w:rsidRPr="00BE5AC8">
        <w:rPr>
          <w:strike/>
        </w:rPr>
        <w:t>South Carolina Uniform Gifts to Minors Act under Article 5, Chapter 5, Title 63</w:t>
      </w:r>
      <w:r w:rsidRPr="00BE5AC8">
        <w:t xml:space="preserve"> </w:t>
      </w:r>
      <w:r w:rsidRPr="00BE5AC8">
        <w:rPr>
          <w:u w:val="single"/>
        </w:rPr>
        <w:t>South Carolina Uniform Transfer to Minors Act under Article 6, Chapter 5, Title 63</w:t>
      </w:r>
      <w:r w:rsidRPr="00BE5AC8">
        <w:t>;”</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rPr>
          <w:snapToGrid w:val="0"/>
        </w:rPr>
        <w:lastRenderedPageBreak/>
        <w:t>SECTION</w:t>
      </w:r>
      <w:r w:rsidRPr="00BE5AC8">
        <w:rPr>
          <w:snapToGrid w:val="0"/>
        </w:rPr>
        <w:tab/>
        <w:t>4.</w:t>
      </w:r>
      <w:r w:rsidRPr="00BE5AC8">
        <w:rPr>
          <w:snapToGrid w:val="0"/>
        </w:rPr>
        <w:tab/>
      </w:r>
      <w:r w:rsidRPr="00BE5AC8">
        <w:t>Section 62</w:t>
      </w:r>
      <w:r w:rsidRPr="00BE5AC8">
        <w:noBreakHyphen/>
        <w:t>5</w:t>
      </w:r>
      <w:r w:rsidRPr="00BE5AC8">
        <w:noBreakHyphen/>
        <w:t xml:space="preserve">103(A)(3) is amended to read: </w:t>
      </w: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4BC" w:rsidRPr="00BE5AC8" w:rsidRDefault="00BF54BC"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AC8">
        <w:tab/>
        <w:t>“(A)(3)</w:t>
      </w:r>
      <w:r w:rsidRPr="00BE5AC8">
        <w:tab/>
        <w:t xml:space="preserve">a financial institution incident to a deposit in a federally insured savings account in the sole name of the minor or for the minor under the </w:t>
      </w:r>
      <w:r w:rsidRPr="00BE5AC8">
        <w:rPr>
          <w:strike/>
        </w:rPr>
        <w:t>Uniform Gifts to Minors Act</w:t>
      </w:r>
      <w:r w:rsidRPr="00BE5AC8">
        <w:t xml:space="preserve"> </w:t>
      </w:r>
      <w:r w:rsidRPr="00BE5AC8">
        <w:rPr>
          <w:u w:val="single"/>
        </w:rPr>
        <w:t>Uniform Transfer to Minors Act</w:t>
      </w:r>
      <w:r w:rsidRPr="00BE5AC8">
        <w:t xml:space="preserve"> and giving notice of the deposit to the minor.”</w:t>
      </w:r>
    </w:p>
    <w:p w:rsidR="004A6024" w:rsidRPr="00BE5AC8" w:rsidRDefault="004A6024"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818" w:rsidRDefault="004A6024" w:rsidP="00BF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5AC8">
        <w:rPr>
          <w:snapToGrid w:val="0"/>
        </w:rPr>
        <w:t>SECTION</w:t>
      </w:r>
      <w:r w:rsidRPr="00BE5AC8">
        <w:rPr>
          <w:snapToGrid w:val="0"/>
        </w:rPr>
        <w:tab/>
        <w:t>5</w:t>
      </w:r>
      <w:r w:rsidR="00BF54BC" w:rsidRPr="00BE5AC8">
        <w:rPr>
          <w:snapToGrid w:val="0"/>
        </w:rPr>
        <w:t>.</w:t>
      </w:r>
      <w:r w:rsidR="00BF54BC" w:rsidRPr="00BE5AC8">
        <w:rPr>
          <w:snapToGrid w:val="0"/>
        </w:rPr>
        <w:tab/>
        <w:t xml:space="preserve"> References to the “Uniform Gift to Minors Act” mean the “Uniform Transfer to Minors Act”, except as provided in Section 59-4-40.</w:t>
      </w:r>
    </w:p>
    <w:p w:rsidR="00BF54BC" w:rsidRDefault="00BF54BC"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A6024">
        <w:tab/>
        <w:t>6</w:t>
      </w:r>
      <w:r>
        <w:t>.</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E3818" w:rsidRDefault="00FE3818"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4A6024" w:rsidP="00F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E3818">
        <w:t>.</w:t>
      </w:r>
      <w:r w:rsidR="00FE3818">
        <w:tab/>
      </w:r>
      <w:r w:rsidR="00FE3818" w:rsidRPr="004A10CE">
        <w:rPr>
          <w:color w:val="000000" w:themeColor="text1"/>
          <w:u w:color="000000" w:themeColor="text1"/>
        </w:rPr>
        <w:t>Article 5</w:t>
      </w:r>
      <w:r w:rsidR="00FE3818">
        <w:rPr>
          <w:color w:val="000000" w:themeColor="text1"/>
          <w:u w:color="000000" w:themeColor="text1"/>
        </w:rPr>
        <w:t xml:space="preserve"> of this chapter</w:t>
      </w:r>
      <w:r w:rsidR="00FE3818" w:rsidRPr="004A10CE">
        <w:rPr>
          <w:color w:val="000000" w:themeColor="text1"/>
          <w:u w:color="000000" w:themeColor="text1"/>
        </w:rPr>
        <w:t>, known as the “South Carolina Uniform Gifts to Minors Act”</w:t>
      </w:r>
      <w:r w:rsidR="00FE3818">
        <w:rPr>
          <w:color w:val="000000" w:themeColor="text1"/>
          <w:u w:color="000000" w:themeColor="text1"/>
        </w:rPr>
        <w:t xml:space="preserve">, </w:t>
      </w:r>
      <w:r w:rsidR="00FE3818" w:rsidRPr="004A10CE">
        <w:rPr>
          <w:color w:val="000000" w:themeColor="text1"/>
          <w:u w:color="000000" w:themeColor="text1"/>
        </w:rPr>
        <w:t xml:space="preserve">is hereby repealed. To the extent that this article, by virtue of Section </w:t>
      </w:r>
      <w:r w:rsidR="00FE3818">
        <w:rPr>
          <w:color w:val="000000" w:themeColor="text1"/>
          <w:u w:color="000000" w:themeColor="text1"/>
        </w:rPr>
        <w:t>63</w:t>
      </w:r>
      <w:r w:rsidR="00AD75AC">
        <w:rPr>
          <w:color w:val="000000" w:themeColor="text1"/>
          <w:u w:color="000000" w:themeColor="text1"/>
        </w:rPr>
        <w:noBreakHyphen/>
      </w:r>
      <w:r w:rsidR="00FE3818">
        <w:rPr>
          <w:color w:val="000000" w:themeColor="text1"/>
          <w:u w:color="000000" w:themeColor="text1"/>
        </w:rPr>
        <w:t>5</w:t>
      </w:r>
      <w:r w:rsidR="00AD75AC">
        <w:rPr>
          <w:color w:val="000000" w:themeColor="text1"/>
          <w:u w:color="000000" w:themeColor="text1"/>
        </w:rPr>
        <w:noBreakHyphen/>
      </w:r>
      <w:r w:rsidR="00FE3818">
        <w:rPr>
          <w:color w:val="000000" w:themeColor="text1"/>
          <w:u w:color="000000" w:themeColor="text1"/>
        </w:rPr>
        <w:t>710</w:t>
      </w:r>
      <w:r w:rsidR="00FE3818" w:rsidRPr="004A10CE">
        <w:rPr>
          <w:color w:val="000000" w:themeColor="text1"/>
          <w:u w:color="000000" w:themeColor="text1"/>
        </w:rPr>
        <w:t xml:space="preserve">(b), does not apply to transfers made in a manner prescribed in </w:t>
      </w:r>
      <w:r w:rsidR="00FE3818">
        <w:rPr>
          <w:color w:val="000000" w:themeColor="text1"/>
          <w:u w:color="000000" w:themeColor="text1"/>
        </w:rPr>
        <w:t xml:space="preserve">the </w:t>
      </w:r>
      <w:r w:rsidR="00FE3818"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C0" w:rsidRDefault="00C53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024">
        <w:t>8</w:t>
      </w:r>
      <w:r>
        <w:t>.</w:t>
      </w:r>
      <w:r>
        <w:tab/>
        <w:t>This act takes effect upon approval by the Governor.</w:t>
      </w:r>
    </w:p>
    <w:p w:rsidR="001E7613" w:rsidRDefault="00AD7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A2E" w:rsidRDefault="00D31A2E" w:rsidP="00D31A2E">
      <w:pPr>
        <w:suppressAutoHyphens/>
      </w:pPr>
    </w:p>
    <w:sectPr w:rsidR="00D31A2E" w:rsidSect="007616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C0" w:rsidRDefault="00C539C0" w:rsidP="009F0C77">
      <w:r>
        <w:separator/>
      </w:r>
    </w:p>
  </w:endnote>
  <w:endnote w:type="continuationSeparator" w:id="0">
    <w:p w:rsidR="00C539C0" w:rsidRDefault="00C53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225FFF-CFCF-42B6-820D-6C2B702782CB}"/>
    <w:embedBold r:id="rId2" w:fontKey="{E3AE63F1-2827-4B63-9C9A-266A388E151A}"/>
    <w:embedItalic r:id="rId3" w:fontKey="{1E9E13BA-357A-4B9F-8B43-4755161AB1CD}"/>
  </w:font>
  <w:font w:name="Calibri">
    <w:panose1 w:val="020F0502020204030204"/>
    <w:charset w:val="00"/>
    <w:family w:val="swiss"/>
    <w:pitch w:val="variable"/>
    <w:sig w:usb0="E4002EFF" w:usb1="C000247B" w:usb2="00000009" w:usb3="00000000" w:csb0="000001FF" w:csb1="00000000"/>
    <w:embedRegular r:id="rId4" w:fontKey="{5C5E3DCA-8ED0-4971-AB61-2F3AEF8E6655}"/>
  </w:font>
  <w:font w:name="Segoe UI">
    <w:panose1 w:val="020B0502040204020203"/>
    <w:charset w:val="00"/>
    <w:family w:val="swiss"/>
    <w:pitch w:val="variable"/>
    <w:sig w:usb0="E4002EFF" w:usb1="C000E47F" w:usb2="00000009" w:usb3="00000000" w:csb0="000001FF" w:csb1="00000000"/>
    <w:embedRegular r:id="rId5" w:fontKey="{3D713359-B433-450F-BBAA-4FBCF8256942}"/>
  </w:font>
  <w:font w:name="Cambria">
    <w:panose1 w:val="02040503050406030204"/>
    <w:charset w:val="00"/>
    <w:family w:val="roman"/>
    <w:pitch w:val="variable"/>
    <w:sig w:usb0="E00006FF" w:usb1="420024FF" w:usb2="02000000" w:usb3="00000000" w:csb0="0000019F" w:csb1="00000000"/>
    <w:embedRegular r:id="rId6" w:fontKey="{6E5B650B-903A-4A43-A852-57C5F1FFB1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613" w:rsidRPr="007C4D44" w:rsidRDefault="007C4D44" w:rsidP="007C4D44">
    <w:pPr>
      <w:pStyle w:val="Footer"/>
      <w:tabs>
        <w:tab w:val="clear" w:pos="4680"/>
        <w:tab w:val="clear" w:pos="9360"/>
        <w:tab w:val="center" w:pos="2995"/>
      </w:tabs>
      <w:spacing w:before="120"/>
    </w:pPr>
    <w:r>
      <w:t>[3821</w:t>
    </w:r>
    <w:r w:rsidR="007616D7">
      <w:t>-</w:t>
    </w:r>
    <w:r w:rsidR="007616D7">
      <w:fldChar w:fldCharType="begin"/>
    </w:r>
    <w:r w:rsidR="007616D7">
      <w:instrText xml:space="preserve"> PAGE  \* MERGEFORMAT </w:instrText>
    </w:r>
    <w:r w:rsidR="007616D7">
      <w:fldChar w:fldCharType="separate"/>
    </w:r>
    <w:r w:rsidR="00D31A2E">
      <w:rPr>
        <w:noProof/>
      </w:rPr>
      <w:t>1</w:t>
    </w:r>
    <w:r w:rsidR="007616D7">
      <w:fldChar w:fldCharType="end"/>
    </w:r>
    <w:r w:rsidR="007616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6D7" w:rsidRPr="007C4D44" w:rsidRDefault="007616D7" w:rsidP="007C4D44">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D31A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C0" w:rsidRDefault="00C539C0" w:rsidP="009F0C77">
      <w:r>
        <w:separator/>
      </w:r>
    </w:p>
  </w:footnote>
  <w:footnote w:type="continuationSeparator" w:id="0">
    <w:p w:rsidR="00C539C0" w:rsidRDefault="00C53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5VR21"/>
    <w:docVar w:name="CoverBillType" w:val="b"/>
    <w:docVar w:name="DocPath" w:val="L:\Council\bills\CC\15995VR21.DOCX"/>
    <w:docVar w:name="dvBillNumber" w:val="3821"/>
    <w:docVar w:name="dvBillNumberPrefix" w:val="H. "/>
    <w:docVar w:name="dvOriginalBody" w:val="House"/>
    <w:docVar w:name="dvSteno" w:val="CC"/>
    <w:docVar w:name="NameofBody" w:val="h"/>
    <w:docVar w:name="vGroup2" w:val="Council"/>
  </w:docVars>
  <w:rsids>
    <w:rsidRoot w:val="00C539C0"/>
    <w:rsid w:val="00011869"/>
    <w:rsid w:val="00015CD6"/>
    <w:rsid w:val="000B54FC"/>
    <w:rsid w:val="000E0100"/>
    <w:rsid w:val="000E1785"/>
    <w:rsid w:val="000F40FA"/>
    <w:rsid w:val="001035F1"/>
    <w:rsid w:val="0010776B"/>
    <w:rsid w:val="00133E66"/>
    <w:rsid w:val="001435A3"/>
    <w:rsid w:val="00146ED3"/>
    <w:rsid w:val="00151044"/>
    <w:rsid w:val="00155E5B"/>
    <w:rsid w:val="001D08F2"/>
    <w:rsid w:val="001D3A58"/>
    <w:rsid w:val="001D525B"/>
    <w:rsid w:val="001D7F4F"/>
    <w:rsid w:val="001E7613"/>
    <w:rsid w:val="00205238"/>
    <w:rsid w:val="002321B6"/>
    <w:rsid w:val="00232912"/>
    <w:rsid w:val="00250967"/>
    <w:rsid w:val="002543C8"/>
    <w:rsid w:val="0025541D"/>
    <w:rsid w:val="00284AAE"/>
    <w:rsid w:val="002E5912"/>
    <w:rsid w:val="00301B21"/>
    <w:rsid w:val="00325348"/>
    <w:rsid w:val="0032732C"/>
    <w:rsid w:val="00336AD0"/>
    <w:rsid w:val="0037079A"/>
    <w:rsid w:val="003B11D7"/>
    <w:rsid w:val="003C4DAB"/>
    <w:rsid w:val="003D01E8"/>
    <w:rsid w:val="003E5288"/>
    <w:rsid w:val="003F6D79"/>
    <w:rsid w:val="0041760A"/>
    <w:rsid w:val="00417C01"/>
    <w:rsid w:val="004403BD"/>
    <w:rsid w:val="00461441"/>
    <w:rsid w:val="004809EE"/>
    <w:rsid w:val="004A6024"/>
    <w:rsid w:val="004C6039"/>
    <w:rsid w:val="004E7D54"/>
    <w:rsid w:val="005273C6"/>
    <w:rsid w:val="00530A69"/>
    <w:rsid w:val="00545593"/>
    <w:rsid w:val="00556EBF"/>
    <w:rsid w:val="00577C6C"/>
    <w:rsid w:val="005A62FE"/>
    <w:rsid w:val="005B09C0"/>
    <w:rsid w:val="005C2FE2"/>
    <w:rsid w:val="005E2BC9"/>
    <w:rsid w:val="00605102"/>
    <w:rsid w:val="006215AA"/>
    <w:rsid w:val="00621845"/>
    <w:rsid w:val="00665247"/>
    <w:rsid w:val="0069065B"/>
    <w:rsid w:val="006913C9"/>
    <w:rsid w:val="0069470D"/>
    <w:rsid w:val="006A5AFF"/>
    <w:rsid w:val="006D58AA"/>
    <w:rsid w:val="00734F00"/>
    <w:rsid w:val="00736959"/>
    <w:rsid w:val="007616D7"/>
    <w:rsid w:val="007A70AE"/>
    <w:rsid w:val="007C4D44"/>
    <w:rsid w:val="008362E8"/>
    <w:rsid w:val="0085786E"/>
    <w:rsid w:val="008A1768"/>
    <w:rsid w:val="008A489F"/>
    <w:rsid w:val="008F0F33"/>
    <w:rsid w:val="008F4429"/>
    <w:rsid w:val="0094021A"/>
    <w:rsid w:val="009B44AF"/>
    <w:rsid w:val="009C632C"/>
    <w:rsid w:val="009C6A0B"/>
    <w:rsid w:val="009F0C77"/>
    <w:rsid w:val="009F4DD1"/>
    <w:rsid w:val="00A02543"/>
    <w:rsid w:val="00A41684"/>
    <w:rsid w:val="00A64E80"/>
    <w:rsid w:val="00A72BCD"/>
    <w:rsid w:val="00A741D9"/>
    <w:rsid w:val="00A833AB"/>
    <w:rsid w:val="00A9741D"/>
    <w:rsid w:val="00AC34A2"/>
    <w:rsid w:val="00AD1C9A"/>
    <w:rsid w:val="00AD4B17"/>
    <w:rsid w:val="00AD75AC"/>
    <w:rsid w:val="00B412D4"/>
    <w:rsid w:val="00B64FFF"/>
    <w:rsid w:val="00BE3C22"/>
    <w:rsid w:val="00BE5AC8"/>
    <w:rsid w:val="00BF54BC"/>
    <w:rsid w:val="00C0345E"/>
    <w:rsid w:val="00C21ABE"/>
    <w:rsid w:val="00C31C95"/>
    <w:rsid w:val="00C3483A"/>
    <w:rsid w:val="00C51AF4"/>
    <w:rsid w:val="00C539C0"/>
    <w:rsid w:val="00C74E9D"/>
    <w:rsid w:val="00C826DD"/>
    <w:rsid w:val="00C82FD3"/>
    <w:rsid w:val="00C92819"/>
    <w:rsid w:val="00CC6B7B"/>
    <w:rsid w:val="00CD2089"/>
    <w:rsid w:val="00CF6DC5"/>
    <w:rsid w:val="00D31A2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1700E-4C17-41D3-B8A4-6929F266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B54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B54FC"/>
    <w:pPr>
      <w:tabs>
        <w:tab w:val="right" w:pos="5904"/>
      </w:tabs>
    </w:pPr>
  </w:style>
  <w:style w:type="paragraph" w:styleId="BalloonText">
    <w:name w:val="Balloon Text"/>
    <w:basedOn w:val="Normal"/>
    <w:link w:val="BalloonTextChar"/>
    <w:uiPriority w:val="99"/>
    <w:semiHidden/>
    <w:unhideWhenUsed/>
    <w:rsid w:val="000B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FC"/>
    <w:rPr>
      <w:rFonts w:ascii="Segoe UI" w:eastAsia="Times New Roman" w:hAnsi="Segoe UI" w:cs="Segoe UI"/>
      <w:sz w:val="18"/>
      <w:szCs w:val="18"/>
    </w:rPr>
  </w:style>
  <w:style w:type="character" w:styleId="Hyperlink">
    <w:name w:val="Hyperlink"/>
    <w:basedOn w:val="DefaultParagraphFont"/>
    <w:uiPriority w:val="99"/>
    <w:unhideWhenUsed/>
    <w:rsid w:val="000B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23279-809C-4942-AFAE-5641BEB12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11532</Words>
  <Characters>60039</Characters>
  <Application>Microsoft Office Word</Application>
  <DocSecurity>0</DocSecurity>
  <Lines>1278</Lines>
  <Paragraphs>248</Paragraphs>
  <ScaleCrop>false</ScaleCrop>
  <HeadingPairs>
    <vt:vector size="2" baseType="variant">
      <vt:variant>
        <vt:lpstr>Title</vt:lpstr>
      </vt:variant>
      <vt:variant>
        <vt:i4>1</vt:i4>
      </vt:variant>
    </vt:vector>
  </HeadingPairs>
  <TitlesOfParts>
    <vt:vector size="1" baseType="lpstr">
      <vt:lpstr>2021-2022 Bill 3821: Subject not yet available - South Carolina Legislature Online</vt:lpstr>
    </vt:vector>
  </TitlesOfParts>
  <Company>LPITS</Company>
  <LinksUpToDate>false</LinksUpToDate>
  <CharactersWithSpaces>71476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3821 Text of Previous Version (Mar. 8, 2022) - South Carolina Legislature Online</dc:title>
  <dc:creator>Chris Charlton</dc:creator>
  <cp:lastModifiedBy>David Brunson</cp:lastModifiedBy>
  <cp:revision>2</cp:revision>
  <cp:lastPrinted>2021-03-03T18:38:00Z</cp:lastPrinted>
  <dcterms:created xsi:type="dcterms:W3CDTF">2022-03-08T23:39:00Z</dcterms:created>
  <dcterms:modified xsi:type="dcterms:W3CDTF">2022-03-08T23:39:00Z</dcterms:modified>
</cp:coreProperties>
</file>