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22C"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Pr="00FD2B06" w:rsidRDefault="00FD2B06" w:rsidP="00FD2B06">
      <w:pPr>
        <w:tabs>
          <w:tab w:val="right" w:pos="5933"/>
        </w:tabs>
        <w:suppressAutoHyphens/>
      </w:pPr>
      <w:r>
        <w:tab/>
      </w:r>
      <w:r>
        <w:rPr>
          <w:b/>
          <w:sz w:val="36"/>
        </w:rPr>
        <w:t>H. 3859</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Default="00FD2B06" w:rsidP="00F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2258">
        <w:t>Reps. Jordan, Sandifer, Kirby and Cogswell</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D2B06" w:rsidRPr="00FD2B06" w:rsidRDefault="00FD2B06" w:rsidP="00F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Pr="00FD2B06" w:rsidRDefault="00FD2B06" w:rsidP="00F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3859) </w:t>
      </w:r>
      <w:r w:rsidRPr="00FD2B06">
        <w:rPr>
          <w:color w:val="000000" w:themeColor="text1"/>
          <w:u w:color="000000" w:themeColor="text1"/>
        </w:rPr>
        <w:t>to amend the Code of Laws of South Carolina, 1976, by adding Chapter 77 to Title 39 so as to provide definitions, to provide that a person who owns or</w:t>
      </w:r>
      <w:r>
        <w:t>, etc., respectfully</w:t>
      </w:r>
    </w:p>
    <w:p w:rsidR="00FD2B06" w:rsidRPr="00FD2B06" w:rsidRDefault="00FD2B06" w:rsidP="00F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FD2B06" w:rsidRPr="00FD2B06" w:rsidRDefault="00FD2B06" w:rsidP="00F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B06" w:rsidRDefault="00FD2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2B06" w:rsidSect="001B0E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6E15" w:rsidRDefault="00C16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0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Pr>
          <w:color w:val="000000" w:themeColor="text1"/>
          <w:u w:color="000000" w:themeColor="text1"/>
        </w:rPr>
        <w:noBreakHyphen/>
      </w:r>
      <w:r w:rsidRPr="00880D64">
        <w:rPr>
          <w:color w:val="000000" w:themeColor="text1"/>
          <w:u w:color="000000" w:themeColor="text1"/>
        </w:rPr>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bookmarkEnd w:id="1"/>
    </w:p>
    <w:p w:rsidR="00AC25BB" w:rsidRDefault="00AC2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5BB" w:rsidRPr="00405EA9" w:rsidRDefault="004E275F"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0D64">
        <w:rPr>
          <w:color w:val="000000" w:themeColor="text1"/>
          <w:u w:color="000000" w:themeColor="text1"/>
        </w:rPr>
        <w:tab/>
      </w:r>
      <w:r w:rsidR="00AC25BB" w:rsidRPr="00405EA9">
        <w:rPr>
          <w:u w:color="000000" w:themeColor="text1"/>
        </w:rPr>
        <w:t>Section 39</w:t>
      </w:r>
      <w:r w:rsidR="00AC25BB" w:rsidRPr="00405EA9">
        <w:rPr>
          <w:u w:color="000000" w:themeColor="text1"/>
        </w:rPr>
        <w:noBreakHyphen/>
        <w:t>77</w:t>
      </w:r>
      <w:r w:rsidR="00AC25BB" w:rsidRPr="00405EA9">
        <w:rPr>
          <w:u w:color="000000" w:themeColor="text1"/>
        </w:rPr>
        <w:noBreakHyphen/>
        <w:t>20.</w:t>
      </w:r>
      <w:r w:rsidR="00AC25BB" w:rsidRPr="00405EA9">
        <w:rPr>
          <w:u w:color="000000" w:themeColor="text1"/>
        </w:rPr>
        <w:tab/>
        <w:t>As used in this chapter:</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(1) </w:t>
      </w:r>
      <w:r w:rsidRPr="00405EA9">
        <w:rPr>
          <w:u w:color="000000" w:themeColor="text1"/>
        </w:rPr>
        <w:tab/>
        <w:t>‘Audiovisual works’ means works that consist of a series of related images which are intrinsically intended to be shown by the use of machines or devices such as projectors, viewers, or electronic equipment, together with accompanying sounds, if any, regardless of the nature of the material objects, such as films or tapes, in which the works are embodied.</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5EA9">
        <w:rPr>
          <w:u w:color="000000" w:themeColor="text1"/>
        </w:rPr>
        <w:t xml:space="preserve">(2) </w:t>
      </w:r>
      <w:r w:rsidRPr="00405EA9">
        <w:rPr>
          <w:u w:color="000000" w:themeColor="text1"/>
        </w:rPr>
        <w:tab/>
        <w:t xml:space="preserve">‘Commercial recording or audiovisual work’ means a recording or audiovisual work whose owner, assignee, authorized agent, or licensee has disseminated or intends to disseminate such </w:t>
      </w:r>
      <w:r w:rsidRPr="00405EA9">
        <w:rPr>
          <w:u w:color="000000" w:themeColor="text1"/>
        </w:rPr>
        <w:lastRenderedPageBreak/>
        <w:t xml:space="preserve">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electronically disseminates it seeks commercial advantage or private financial gain from the dissemination. </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(3) </w:t>
      </w:r>
      <w:r w:rsidRPr="00405EA9">
        <w:rPr>
          <w:u w:color="000000" w:themeColor="text1"/>
        </w:rPr>
        <w:tab/>
        <w:t>‘Electronic dissemination’ means initiating a transmission of, making available, or otherwise offering a commercial recording or audiovisual work for distribution, display, or performance through the Internet or other digital network, regardless of whether another person has previously electronically disseminated the same commercial recording or audiovisual work.</w:t>
      </w:r>
    </w:p>
    <w:p w:rsidR="004E275F" w:rsidRPr="00880D64"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EA9">
        <w:rPr>
          <w:u w:color="000000" w:themeColor="text1"/>
        </w:rPr>
        <w:tab/>
        <w:t xml:space="preserve">(4) </w:t>
      </w:r>
      <w:r w:rsidRPr="00405EA9">
        <w:rPr>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r w:rsidRPr="00405EA9">
        <w:rPr>
          <w:u w:color="000000" w:themeColor="text1"/>
        </w:rPr>
        <w:tab/>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Pr>
          <w:color w:val="000000" w:themeColor="text1"/>
          <w:u w:color="000000" w:themeColor="text1"/>
        </w:rPr>
        <w:noBreakHyphen/>
      </w:r>
      <w:r w:rsidRPr="00880D64">
        <w:rPr>
          <w:color w:val="000000" w:themeColor="text1"/>
          <w:u w:color="000000" w:themeColor="text1"/>
        </w:rPr>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Pr>
          <w:color w:val="000000" w:themeColor="text1"/>
          <w:u w:color="000000" w:themeColor="text1"/>
        </w:rPr>
        <w:noBreakHyphen/>
      </w:r>
      <w:r w:rsidRPr="00880D64">
        <w:rPr>
          <w:color w:val="000000" w:themeColor="text1"/>
          <w:u w:color="000000" w:themeColor="text1"/>
        </w:rPr>
        <w:t>mail address on his website or online service in a location readily accessible to a consumer using or visiting the website or online service.</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w:t>
      </w:r>
      <w:r w:rsidRPr="00880D64">
        <w:rPr>
          <w:color w:val="000000" w:themeColor="text1"/>
          <w:u w:color="000000" w:themeColor="text1"/>
        </w:rPr>
        <w:lastRenderedPageBreak/>
        <w:t>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within fourteen days may result in a civil action filed in a court of competent jurisdiction.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w:t>
      </w:r>
      <w:r w:rsidRPr="004E275F">
        <w:rPr>
          <w:color w:val="000000" w:themeColor="text1"/>
          <w:u w:color="000000" w:themeColor="text1"/>
        </w:rPr>
        <w:t>’</w:t>
      </w:r>
      <w:r w:rsidRPr="00880D64">
        <w:rPr>
          <w:color w:val="000000" w:themeColor="text1"/>
          <w:u w:color="000000" w:themeColor="text1"/>
        </w:rPr>
        <w:t>s fees.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Pr>
          <w:color w:val="000000" w:themeColor="text1"/>
          <w:u w:color="000000" w:themeColor="text1"/>
        </w:rPr>
        <w:noBreakHyphen/>
      </w:r>
      <w:r w:rsidRPr="00880D64">
        <w:rPr>
          <w:color w:val="000000" w:themeColor="text1"/>
          <w:u w:color="000000" w:themeColor="text1"/>
        </w:rPr>
        <w:t>5</w:t>
      </w:r>
      <w:r>
        <w:rPr>
          <w:color w:val="000000" w:themeColor="text1"/>
          <w:u w:color="000000" w:themeColor="text1"/>
        </w:rPr>
        <w:noBreakHyphen/>
      </w:r>
      <w:r w:rsidRPr="00880D64">
        <w:rPr>
          <w:color w:val="000000" w:themeColor="text1"/>
          <w:u w:color="000000" w:themeColor="text1"/>
        </w:rPr>
        <w:t xml:space="preserve">20. </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4B"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2C69" w:rsidRDefault="004E27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0CA" w:rsidRDefault="001400CA" w:rsidP="001400CA">
      <w:pPr>
        <w:suppressAutoHyphens/>
      </w:pPr>
    </w:p>
    <w:sectPr w:rsidR="001400CA" w:rsidSect="001B0E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04B" w:rsidRDefault="003B504B" w:rsidP="009F0C77">
      <w:r>
        <w:separator/>
      </w:r>
    </w:p>
  </w:endnote>
  <w:endnote w:type="continuationSeparator" w:id="0">
    <w:p w:rsidR="003B504B" w:rsidRDefault="003B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A2E9DC-39BE-4028-B5B0-42D9A3AA424E}"/>
    <w:embedBold r:id="rId2" w:fontKey="{1693F17B-08AD-45CB-914C-DB8EF1D548C9}"/>
  </w:font>
  <w:font w:name="Calibri">
    <w:panose1 w:val="020F0502020204030204"/>
    <w:charset w:val="00"/>
    <w:family w:val="swiss"/>
    <w:pitch w:val="variable"/>
    <w:sig w:usb0="E4002EFF" w:usb1="C000247B" w:usb2="00000009" w:usb3="00000000" w:csb0="000001FF" w:csb1="00000000"/>
    <w:embedRegular r:id="rId3" w:fontKey="{9852CBA3-90A3-416E-8390-07E96E9E4C08}"/>
  </w:font>
  <w:font w:name="Cambria">
    <w:panose1 w:val="02040503050406030204"/>
    <w:charset w:val="00"/>
    <w:family w:val="roman"/>
    <w:pitch w:val="variable"/>
    <w:sig w:usb0="E00006FF" w:usb1="420024FF" w:usb2="02000000" w:usb3="00000000" w:csb0="0000019F" w:csb1="00000000"/>
    <w:embedRegular r:id="rId4" w:fontKey="{78801A47-3519-46B6-B0EA-2F63F6BF65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69" w:rsidRPr="00C16E15" w:rsidRDefault="00C16E15" w:rsidP="00C16E15">
    <w:pPr>
      <w:pStyle w:val="Footer"/>
      <w:tabs>
        <w:tab w:val="clear" w:pos="4680"/>
        <w:tab w:val="clear" w:pos="9360"/>
        <w:tab w:val="center" w:pos="2995"/>
      </w:tabs>
      <w:spacing w:before="120"/>
    </w:pPr>
    <w:r>
      <w:t>[3859</w:t>
    </w:r>
    <w:r w:rsidR="001B0E78">
      <w:t>-</w:t>
    </w:r>
    <w:r w:rsidR="001B0E78">
      <w:fldChar w:fldCharType="begin"/>
    </w:r>
    <w:r w:rsidR="001B0E78">
      <w:instrText xml:space="preserve"> PAGE  \* MERGEFORMAT </w:instrText>
    </w:r>
    <w:r w:rsidR="001B0E78">
      <w:fldChar w:fldCharType="separate"/>
    </w:r>
    <w:r w:rsidR="00EB540B">
      <w:rPr>
        <w:noProof/>
      </w:rPr>
      <w:t>1</w:t>
    </w:r>
    <w:r w:rsidR="001B0E78">
      <w:fldChar w:fldCharType="end"/>
    </w:r>
    <w:r w:rsidR="001B0E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E78" w:rsidRPr="00C16E15" w:rsidRDefault="001B0E78" w:rsidP="00C16E15">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sidR="001400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04B" w:rsidRDefault="003B504B" w:rsidP="009F0C77">
      <w:r>
        <w:separator/>
      </w:r>
    </w:p>
  </w:footnote>
  <w:footnote w:type="continuationSeparator" w:id="0">
    <w:p w:rsidR="003B504B" w:rsidRDefault="003B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SA21"/>
    <w:docVar w:name="CoverBillType" w:val="b"/>
    <w:docVar w:name="DocPath" w:val="L:\Council\bills\NBD\11172SA21.DOCX"/>
    <w:docVar w:name="dvBillNumber" w:val="3859"/>
    <w:docVar w:name="dvBillNumberPrefix" w:val="H. "/>
    <w:docVar w:name="dvOriginalBody" w:val="House"/>
    <w:docVar w:name="dvSteno" w:val="NBD"/>
    <w:docVar w:name="NameofBody" w:val="h"/>
    <w:docVar w:name="vGroup2" w:val="Council"/>
  </w:docVars>
  <w:rsids>
    <w:rsidRoot w:val="003B504B"/>
    <w:rsid w:val="00011869"/>
    <w:rsid w:val="00015CD6"/>
    <w:rsid w:val="000E0100"/>
    <w:rsid w:val="000E1785"/>
    <w:rsid w:val="000F40FA"/>
    <w:rsid w:val="001035F1"/>
    <w:rsid w:val="0010776B"/>
    <w:rsid w:val="00133E66"/>
    <w:rsid w:val="001400CA"/>
    <w:rsid w:val="001435A3"/>
    <w:rsid w:val="00146ED3"/>
    <w:rsid w:val="00151044"/>
    <w:rsid w:val="001B0E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04B"/>
    <w:rsid w:val="003C4DAB"/>
    <w:rsid w:val="003D01E8"/>
    <w:rsid w:val="003E5288"/>
    <w:rsid w:val="003F6D79"/>
    <w:rsid w:val="0041760A"/>
    <w:rsid w:val="00417C01"/>
    <w:rsid w:val="004403BD"/>
    <w:rsid w:val="00461441"/>
    <w:rsid w:val="004809EE"/>
    <w:rsid w:val="004E27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69"/>
    <w:rsid w:val="008362E8"/>
    <w:rsid w:val="0085786E"/>
    <w:rsid w:val="008A1768"/>
    <w:rsid w:val="008A489F"/>
    <w:rsid w:val="008F0F33"/>
    <w:rsid w:val="008F4429"/>
    <w:rsid w:val="0094021A"/>
    <w:rsid w:val="009B44AF"/>
    <w:rsid w:val="009B5C04"/>
    <w:rsid w:val="009C6A0B"/>
    <w:rsid w:val="009F0C77"/>
    <w:rsid w:val="009F4DD1"/>
    <w:rsid w:val="00A02543"/>
    <w:rsid w:val="00A41684"/>
    <w:rsid w:val="00A64E80"/>
    <w:rsid w:val="00A72BCD"/>
    <w:rsid w:val="00A741D9"/>
    <w:rsid w:val="00A833AB"/>
    <w:rsid w:val="00A9741D"/>
    <w:rsid w:val="00AC25BB"/>
    <w:rsid w:val="00AC34A2"/>
    <w:rsid w:val="00AD1C9A"/>
    <w:rsid w:val="00AD4B17"/>
    <w:rsid w:val="00B412D4"/>
    <w:rsid w:val="00B64FFF"/>
    <w:rsid w:val="00BE3C22"/>
    <w:rsid w:val="00C0345E"/>
    <w:rsid w:val="00C16E15"/>
    <w:rsid w:val="00C21ABE"/>
    <w:rsid w:val="00C31C95"/>
    <w:rsid w:val="00C3483A"/>
    <w:rsid w:val="00C74E9D"/>
    <w:rsid w:val="00C826DD"/>
    <w:rsid w:val="00C82FD3"/>
    <w:rsid w:val="00C92819"/>
    <w:rsid w:val="00CC6B7B"/>
    <w:rsid w:val="00CD2089"/>
    <w:rsid w:val="00D4425C"/>
    <w:rsid w:val="00D73A67"/>
    <w:rsid w:val="00D8522C"/>
    <w:rsid w:val="00D970A9"/>
    <w:rsid w:val="00DF3845"/>
    <w:rsid w:val="00E41911"/>
    <w:rsid w:val="00E44B57"/>
    <w:rsid w:val="00E92EEF"/>
    <w:rsid w:val="00EB540B"/>
    <w:rsid w:val="00EF2368"/>
    <w:rsid w:val="00F24442"/>
    <w:rsid w:val="00F50AE3"/>
    <w:rsid w:val="00F655B7"/>
    <w:rsid w:val="00F656BA"/>
    <w:rsid w:val="00F67CF1"/>
    <w:rsid w:val="00F728AA"/>
    <w:rsid w:val="00F840F0"/>
    <w:rsid w:val="00FB0D0D"/>
    <w:rsid w:val="00FB43B4"/>
    <w:rsid w:val="00FB6B0B"/>
    <w:rsid w:val="00FD2B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44E7E-5431-47EC-AEE8-A6D795F1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96295-A1DB-4D52-ADA1-358316FE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5250</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3859 Text of Previous Version (Mar. 29, 2022) - South Carolina Legislature Online</dc:title>
  <dc:creator>Niki Downey</dc:creator>
  <cp:lastModifiedBy>Miriam Cook</cp:lastModifiedBy>
  <cp:revision>2</cp:revision>
  <dcterms:created xsi:type="dcterms:W3CDTF">2022-03-30T00:21:00Z</dcterms:created>
  <dcterms:modified xsi:type="dcterms:W3CDTF">2022-03-30T00:21:00Z</dcterms:modified>
</cp:coreProperties>
</file>