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79C3" w:rsidRP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Pr="00C679C3" w:rsidRDefault="00C679C3" w:rsidP="00C679C3">
      <w:pPr>
        <w:tabs>
          <w:tab w:val="right" w:pos="5933"/>
        </w:tabs>
        <w:suppressAutoHyphens/>
      </w:pPr>
      <w:r>
        <w:tab/>
      </w:r>
      <w:r>
        <w:rPr>
          <w:b/>
          <w:sz w:val="36"/>
        </w:rPr>
        <w:t>H. 3998</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E0805">
        <w:t>Reps. Fry, Dillard, Erickson, Davis, Wooten and Trantham</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3998) </w:t>
      </w:r>
      <w:r w:rsidRPr="00C679C3">
        <w:rPr>
          <w:color w:val="000000" w:themeColor="text1"/>
          <w:u w:color="000000" w:themeColor="text1"/>
        </w:rPr>
        <w:t>to amend Sections 44</w:t>
      </w:r>
      <w:r w:rsidRPr="00C679C3">
        <w:rPr>
          <w:color w:val="000000" w:themeColor="text1"/>
          <w:u w:color="000000" w:themeColor="text1"/>
        </w:rPr>
        <w:noBreakHyphen/>
        <w:t>53</w:t>
      </w:r>
      <w:r w:rsidRPr="00C679C3">
        <w:rPr>
          <w:color w:val="000000" w:themeColor="text1"/>
          <w:u w:color="000000" w:themeColor="text1"/>
        </w:rPr>
        <w:noBreakHyphen/>
        <w:t>1630 and 44</w:t>
      </w:r>
      <w:r w:rsidRPr="00C679C3">
        <w:rPr>
          <w:color w:val="000000" w:themeColor="text1"/>
          <w:u w:color="000000" w:themeColor="text1"/>
        </w:rPr>
        <w:noBreakHyphen/>
        <w:t>53</w:t>
      </w:r>
      <w:r w:rsidRPr="00C679C3">
        <w:rPr>
          <w:color w:val="000000" w:themeColor="text1"/>
          <w:u w:color="000000" w:themeColor="text1"/>
        </w:rPr>
        <w:noBreakHyphen/>
        <w:t>1640, as amended, Code of Laws of South Carolina, 1976, both relating to the prescription monitoring</w:t>
      </w:r>
      <w:r>
        <w:t>, etc., respectfully</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934" w:rsidRDefault="00C95934" w:rsidP="00C95934">
      <w:pPr>
        <w:tabs>
          <w:tab w:val="left" w:pos="3024"/>
        </w:tabs>
        <w:suppressAutoHyphens/>
      </w:pPr>
      <w:r>
        <w:t>Majority favorable.</w:t>
      </w:r>
      <w:r>
        <w:tab/>
        <w:t>Minority unfavorable.</w:t>
      </w:r>
    </w:p>
    <w:p w:rsidR="00C95934" w:rsidRDefault="00C95934" w:rsidP="00C95934">
      <w:pPr>
        <w:tabs>
          <w:tab w:val="left" w:pos="3024"/>
        </w:tabs>
        <w:suppressAutoHyphens/>
      </w:pPr>
      <w:r>
        <w:t>LEON HOWARD</w:t>
      </w:r>
      <w:r>
        <w:tab/>
        <w:t>JONATHON HILL</w:t>
      </w:r>
    </w:p>
    <w:p w:rsidR="00C679C3" w:rsidRDefault="00C95934" w:rsidP="00C95934">
      <w:pPr>
        <w:tabs>
          <w:tab w:val="left" w:pos="3024"/>
        </w:tabs>
        <w:suppressAutoHyphens/>
      </w:pPr>
      <w:r>
        <w:t>For Majority.</w:t>
      </w:r>
      <w:r>
        <w:tab/>
        <w:t>For Minority.</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679C3">
        <w:rPr>
          <w:b/>
          <w:bCs/>
        </w:rPr>
        <w:t>Explanation of Fiscal Impact</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679C3">
        <w:rPr>
          <w:b/>
        </w:rPr>
        <w:t>State Expenditure</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9C3">
        <w:tab/>
        <w:t>This bill adds Schedule V controlled substances to the definition of controlled substances and requires DHEC to add Schedule V controlled substances to its program to monitor the prescribing and dispensing of those substances.  DHEC indicates that any additional duties that may be added by this legislation will be accomplished with its existing appropriations and staff.  Therefore, there is no impact to the agency.</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679C3" w:rsidRP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Revenue and Fiscal Affairs Office</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79C3" w:rsidSect="00C679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1719" w:rsidRDefault="00E81719"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483817" w:rsidRPr="006226D8">
        <w:rPr>
          <w:color w:val="000000" w:themeColor="text1"/>
          <w:u w:color="000000" w:themeColor="text1"/>
        </w:rPr>
        <w:t>AMEND SECTIONS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802C5A">
        <w:rPr>
          <w:color w:val="000000" w:themeColor="text1"/>
          <w:u w:color="000000" w:themeColor="text1"/>
        </w:rPr>
        <w:t>1630</w:t>
      </w:r>
      <w:r w:rsidR="00483817" w:rsidRPr="006226D8">
        <w:rPr>
          <w:color w:val="000000" w:themeColor="text1"/>
          <w:u w:color="000000" w:themeColor="text1"/>
        </w:rPr>
        <w:t xml:space="preserve"> AND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483817"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17"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6226D8">
        <w:rPr>
          <w:color w:val="000000" w:themeColor="text1"/>
          <w:u w:color="000000" w:themeColor="text1"/>
        </w:rPr>
        <w:t>Section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00802C5A">
        <w:rPr>
          <w:color w:val="000000" w:themeColor="text1"/>
          <w:u w:color="000000" w:themeColor="text1"/>
        </w:rPr>
        <w:t>1630</w:t>
      </w:r>
      <w:r w:rsidRPr="006226D8">
        <w:rPr>
          <w:color w:val="000000" w:themeColor="text1"/>
          <w:u w:color="000000" w:themeColor="text1"/>
        </w:rPr>
        <w:t>(2) and (3) of the 1976 Code is amended to read:</w:t>
      </w:r>
    </w:p>
    <w:p w:rsidR="00802C5A" w:rsidRPr="006226D8" w:rsidRDefault="00802C5A"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26D8">
        <w:rPr>
          <w:color w:val="000000" w:themeColor="text1"/>
          <w:u w:color="000000" w:themeColor="text1"/>
        </w:rPr>
        <w:t>“</w:t>
      </w:r>
      <w:r>
        <w:rPr>
          <w:color w:val="000000" w:themeColor="text1"/>
          <w:u w:color="000000" w:themeColor="text1"/>
        </w:rPr>
        <w:t>(2)</w:t>
      </w:r>
      <w:r>
        <w:rPr>
          <w:color w:val="000000" w:themeColor="text1"/>
          <w:u w:color="000000" w:themeColor="text1"/>
        </w:rPr>
        <w:tab/>
        <w:t>‘</w:t>
      </w:r>
      <w:r w:rsidRPr="006226D8">
        <w:rPr>
          <w:color w:val="000000" w:themeColor="text1"/>
          <w:u w:color="000000" w:themeColor="text1"/>
        </w:rPr>
        <w:t>Controlled substances</w:t>
      </w:r>
      <w:r>
        <w:rPr>
          <w:color w:val="000000" w:themeColor="text1"/>
          <w:u w:color="000000" w:themeColor="text1"/>
        </w:rPr>
        <w:t>’</w:t>
      </w:r>
      <w:r w:rsidRPr="006226D8">
        <w:rPr>
          <w:color w:val="000000" w:themeColor="text1"/>
          <w:u w:color="000000" w:themeColor="text1"/>
        </w:rPr>
        <w:t xml:space="preserve"> means those substances listed in Schedules II, III, </w:t>
      </w:r>
      <w:r w:rsidRPr="006226D8">
        <w:rPr>
          <w:strike/>
          <w:color w:val="000000" w:themeColor="text1"/>
          <w:u w:color="000000" w:themeColor="text1"/>
        </w:rPr>
        <w:t>and</w:t>
      </w:r>
      <w:r w:rsidRPr="006226D8">
        <w:rPr>
          <w:color w:val="000000" w:themeColor="text1"/>
          <w:u w:color="000000" w:themeColor="text1"/>
        </w:rPr>
        <w:t xml:space="preserve"> IV</w:t>
      </w:r>
      <w:r w:rsidRPr="006226D8">
        <w:rPr>
          <w:color w:val="000000" w:themeColor="text1"/>
          <w:u w:val="single" w:color="000000" w:themeColor="text1"/>
        </w:rPr>
        <w:t>, and V</w:t>
      </w:r>
      <w:r w:rsidRPr="006226D8">
        <w:rPr>
          <w:color w:val="000000" w:themeColor="text1"/>
          <w:u w:color="000000" w:themeColor="text1"/>
        </w:rPr>
        <w:t xml:space="preserve"> of the schedules provided for in Sections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210, 44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230, 44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250, and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270.</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w:t>
      </w:r>
      <w:r w:rsidRPr="006226D8">
        <w:rPr>
          <w:color w:val="000000" w:themeColor="text1"/>
          <w:u w:color="000000" w:themeColor="text1"/>
        </w:rPr>
        <w:t>Dispenser</w:t>
      </w:r>
      <w:r>
        <w:rPr>
          <w:color w:val="000000" w:themeColor="text1"/>
          <w:u w:color="000000" w:themeColor="text1"/>
        </w:rPr>
        <w:t>’</w:t>
      </w:r>
      <w:r w:rsidRPr="006226D8">
        <w:rPr>
          <w:color w:val="000000" w:themeColor="text1"/>
          <w:u w:color="000000" w:themeColor="text1"/>
        </w:rPr>
        <w:t xml:space="preserve"> means a person who delivers a Schedule I</w:t>
      </w:r>
      <w:r w:rsidRPr="00483817">
        <w:rPr>
          <w:color w:val="000000" w:themeColor="text1"/>
          <w:u w:color="000000" w:themeColor="text1"/>
        </w:rPr>
        <w:t>I</w:t>
      </w:r>
      <w:r>
        <w:rPr>
          <w:color w:val="000000" w:themeColor="text1"/>
          <w:u w:color="000000" w:themeColor="text1"/>
        </w:rPr>
        <w:noBreakHyphen/>
      </w:r>
      <w:r w:rsidRPr="006226D8">
        <w:rPr>
          <w:strike/>
          <w:color w:val="000000" w:themeColor="text1"/>
          <w:u w:color="000000" w:themeColor="text1"/>
        </w:rPr>
        <w:t>IV</w:t>
      </w:r>
      <w:r w:rsidRPr="006226D8">
        <w:rPr>
          <w:color w:val="000000" w:themeColor="text1"/>
          <w:u w:val="single" w:color="000000" w:themeColor="text1"/>
        </w:rPr>
        <w:t>V</w:t>
      </w:r>
      <w:r w:rsidRPr="006226D8">
        <w:rPr>
          <w:color w:val="000000" w:themeColor="text1"/>
          <w:u w:color="000000" w:themeColor="text1"/>
        </w:rPr>
        <w:t xml:space="preserve"> controlled substance to the ultimate user, but does not include:</w:t>
      </w:r>
    </w:p>
    <w:p w:rsidR="00483817" w:rsidRPr="006226D8" w:rsidRDefault="00802C5A"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sidR="00483817">
        <w:rPr>
          <w:color w:val="000000" w:themeColor="text1"/>
          <w:u w:color="000000" w:themeColor="text1"/>
        </w:rPr>
        <w:tab/>
      </w:r>
      <w:r w:rsidR="00483817" w:rsidRPr="006226D8">
        <w:rPr>
          <w:color w:val="000000" w:themeColor="text1"/>
          <w:u w:color="000000" w:themeColor="text1"/>
        </w:rPr>
        <w:t>a licensed hospital pharmacy that distributes controlled substances for the purpose of inpatient hospital care or dispenses prescriptions for controlled substances at the time of discharge from the hospital;</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226D8">
        <w:rPr>
          <w:color w:val="000000" w:themeColor="text1"/>
          <w:u w:color="000000" w:themeColor="text1"/>
        </w:rPr>
        <w:t>a practitioner or other authorized person who administers these controlled substances; or</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226D8">
        <w:rPr>
          <w:color w:val="000000" w:themeColor="text1"/>
          <w:u w:color="000000" w:themeColor="text1"/>
        </w:rPr>
        <w:t>a wholesale distributor of a Schedule II</w:t>
      </w:r>
      <w:r>
        <w:rPr>
          <w:color w:val="000000" w:themeColor="text1"/>
          <w:u w:color="000000" w:themeColor="text1"/>
        </w:rPr>
        <w:noBreakHyphen/>
      </w:r>
      <w:r w:rsidRPr="006226D8">
        <w:rPr>
          <w:strike/>
          <w:color w:val="000000" w:themeColor="text1"/>
          <w:u w:color="000000" w:themeColor="text1"/>
        </w:rPr>
        <w:t>IV</w:t>
      </w:r>
      <w:r w:rsidRPr="006226D8">
        <w:rPr>
          <w:color w:val="000000" w:themeColor="text1"/>
          <w:u w:val="single" w:color="000000" w:themeColor="text1"/>
        </w:rPr>
        <w:t>V</w:t>
      </w:r>
      <w:r w:rsidRPr="006226D8">
        <w:rPr>
          <w:color w:val="000000" w:themeColor="text1"/>
          <w:u w:color="000000" w:themeColor="text1"/>
        </w:rPr>
        <w:t xml:space="preserve"> controlled substance.”</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226D8">
        <w:rPr>
          <w:color w:val="000000" w:themeColor="text1"/>
          <w:u w:color="000000" w:themeColor="text1"/>
        </w:rPr>
        <w:t>Section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1640(A) of</w:t>
      </w:r>
      <w:r w:rsidR="00802C5A">
        <w:rPr>
          <w:color w:val="000000" w:themeColor="text1"/>
          <w:u w:color="000000" w:themeColor="text1"/>
        </w:rPr>
        <w:t xml:space="preserve"> the 1976 Code, as last amended</w:t>
      </w:r>
      <w:r w:rsidRPr="006226D8">
        <w:rPr>
          <w:color w:val="000000" w:themeColor="text1"/>
          <w:u w:color="000000" w:themeColor="text1"/>
        </w:rPr>
        <w:t xml:space="preserve"> by Act 65 of 2019, is further amended to read:</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8B7"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6226D8">
        <w:rPr>
          <w:color w:val="000000" w:themeColor="text1"/>
          <w:u w:color="000000" w:themeColor="text1"/>
        </w:rPr>
        <w:t>“</w:t>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6226D8">
        <w:rPr>
          <w:color w:val="000000" w:themeColor="text1"/>
          <w:u w:color="000000" w:themeColor="text1"/>
        </w:rPr>
        <w:t xml:space="preserve">The Department of Health and Environmental Control, Bureau of Drug Control shall establish and maintain a program to monitor the prescribing and dispensing of all Schedule II, III, </w:t>
      </w:r>
      <w:r w:rsidRPr="006226D8">
        <w:rPr>
          <w:strike/>
          <w:color w:val="000000" w:themeColor="text1"/>
          <w:u w:color="000000" w:themeColor="text1"/>
        </w:rPr>
        <w:t>and</w:t>
      </w:r>
      <w:r w:rsidRPr="006226D8">
        <w:rPr>
          <w:color w:val="000000" w:themeColor="text1"/>
          <w:u w:color="000000" w:themeColor="text1"/>
        </w:rPr>
        <w:t xml:space="preserve"> IV</w:t>
      </w:r>
      <w:r w:rsidRPr="006226D8">
        <w:rPr>
          <w:color w:val="000000" w:themeColor="text1"/>
          <w:u w:val="single" w:color="000000" w:themeColor="text1"/>
        </w:rPr>
        <w:t>, and V</w:t>
      </w:r>
      <w:r w:rsidRPr="006226D8">
        <w:rPr>
          <w:color w:val="000000" w:themeColor="text1"/>
          <w:u w:color="000000" w:themeColor="text1"/>
        </w:rPr>
        <w:t xml:space="preserve"> controlled substances by professionals licensed to prescribe or dispense these substances in this State and the administering of opioid antidotes pursuant to Sections 44</w:t>
      </w:r>
      <w:r>
        <w:rPr>
          <w:color w:val="000000" w:themeColor="text1"/>
          <w:u w:color="000000" w:themeColor="text1"/>
        </w:rPr>
        <w:noBreakHyphen/>
      </w:r>
      <w:r w:rsidRPr="006226D8">
        <w:rPr>
          <w:color w:val="000000" w:themeColor="text1"/>
          <w:u w:color="000000" w:themeColor="text1"/>
        </w:rPr>
        <w:t>130</w:t>
      </w:r>
      <w:r>
        <w:rPr>
          <w:color w:val="000000" w:themeColor="text1"/>
          <w:u w:color="000000" w:themeColor="text1"/>
        </w:rPr>
        <w:noBreakHyphen/>
      </w:r>
      <w:r w:rsidRPr="006226D8">
        <w:rPr>
          <w:color w:val="000000" w:themeColor="text1"/>
          <w:u w:color="000000" w:themeColor="text1"/>
        </w:rPr>
        <w:t>60 and 44</w:t>
      </w:r>
      <w:r>
        <w:rPr>
          <w:color w:val="000000" w:themeColor="text1"/>
          <w:u w:color="000000" w:themeColor="text1"/>
        </w:rPr>
        <w:noBreakHyphen/>
      </w:r>
      <w:r w:rsidRPr="006226D8">
        <w:rPr>
          <w:color w:val="000000" w:themeColor="text1"/>
          <w:u w:color="000000" w:themeColor="text1"/>
        </w:rPr>
        <w:t>130</w:t>
      </w:r>
      <w:r>
        <w:rPr>
          <w:color w:val="000000" w:themeColor="text1"/>
          <w:u w:color="000000" w:themeColor="text1"/>
        </w:rPr>
        <w:noBreakHyphen/>
      </w:r>
      <w:r w:rsidRPr="006226D8">
        <w:rPr>
          <w:color w:val="000000" w:themeColor="text1"/>
          <w:u w:color="000000" w:themeColor="text1"/>
        </w:rPr>
        <w:t>80.”</w:t>
      </w:r>
    </w:p>
    <w:p w:rsidR="00483817"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2AE6">
        <w:t>3</w:t>
      </w:r>
      <w:r>
        <w:t>.</w:t>
      </w:r>
      <w:r>
        <w:tab/>
        <w:t>This act takes effect upon approval by the Governor.</w:t>
      </w:r>
    </w:p>
    <w:p w:rsidR="00DB13E5" w:rsidRDefault="0048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E88" w:rsidRDefault="00B00E88" w:rsidP="00B00E88">
      <w:pPr>
        <w:suppressAutoHyphens/>
      </w:pPr>
    </w:p>
    <w:sectPr w:rsidR="00B00E88" w:rsidSect="00C679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8B7" w:rsidRDefault="009818B7" w:rsidP="009F0C77">
      <w:r>
        <w:separator/>
      </w:r>
    </w:p>
  </w:endnote>
  <w:endnote w:type="continuationSeparator" w:id="0">
    <w:p w:rsidR="009818B7" w:rsidRDefault="00981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8EF0D7-637A-4924-98A8-33CB4072E419}"/>
    <w:embedBold r:id="rId2" w:fontKey="{234451F9-7495-4F60-8B89-5347DA1323FF}"/>
  </w:font>
  <w:font w:name="Calibri">
    <w:panose1 w:val="020F0502020204030204"/>
    <w:charset w:val="00"/>
    <w:family w:val="swiss"/>
    <w:pitch w:val="variable"/>
    <w:sig w:usb0="E0002EFF" w:usb1="C000247B" w:usb2="00000009" w:usb3="00000000" w:csb0="000001FF" w:csb1="00000000"/>
    <w:embedRegular r:id="rId3" w:fontKey="{8633638B-7CA1-4ADD-AC08-E388874A7141}"/>
  </w:font>
  <w:font w:name="Segoe UI">
    <w:panose1 w:val="020B0502040204020203"/>
    <w:charset w:val="00"/>
    <w:family w:val="swiss"/>
    <w:pitch w:val="variable"/>
    <w:sig w:usb0="E4002EFF" w:usb1="C000E47F" w:usb2="00000009" w:usb3="00000000" w:csb0="000001FF" w:csb1="00000000"/>
    <w:embedRegular r:id="rId4" w:fontKey="{0C7ABF23-F135-4FC9-B709-B5DAE27744A4}"/>
  </w:font>
  <w:font w:name="Cambria">
    <w:panose1 w:val="02040503050406030204"/>
    <w:charset w:val="00"/>
    <w:family w:val="roman"/>
    <w:pitch w:val="variable"/>
    <w:sig w:usb0="E00006FF" w:usb1="420024FF" w:usb2="02000000" w:usb3="00000000" w:csb0="0000019F" w:csb1="00000000"/>
    <w:embedRegular r:id="rId5" w:fontKey="{483487C7-5490-48FA-9A7C-9E0ED8C6A4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3E5" w:rsidRPr="00E81719" w:rsidRDefault="00E81719" w:rsidP="00E81719">
    <w:pPr>
      <w:pStyle w:val="Footer"/>
      <w:tabs>
        <w:tab w:val="clear" w:pos="4680"/>
        <w:tab w:val="clear" w:pos="9360"/>
        <w:tab w:val="center" w:pos="2995"/>
      </w:tabs>
      <w:spacing w:before="120"/>
    </w:pPr>
    <w:r>
      <w:t>[3998</w:t>
    </w:r>
    <w:r w:rsidR="00C679C3">
      <w:t>-</w:t>
    </w:r>
    <w:r w:rsidR="00C679C3">
      <w:fldChar w:fldCharType="begin"/>
    </w:r>
    <w:r w:rsidR="00C679C3">
      <w:instrText xml:space="preserve"> PAGE  \* MERGEFORMAT </w:instrText>
    </w:r>
    <w:r w:rsidR="00C679C3">
      <w:fldChar w:fldCharType="separate"/>
    </w:r>
    <w:r w:rsidR="00B00E88">
      <w:rPr>
        <w:noProof/>
      </w:rPr>
      <w:t>2</w:t>
    </w:r>
    <w:r w:rsidR="00C679C3">
      <w:fldChar w:fldCharType="end"/>
    </w:r>
    <w:r w:rsidR="00C679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9C3" w:rsidRPr="00E81719" w:rsidRDefault="00C679C3"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B00E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8B7" w:rsidRDefault="009818B7" w:rsidP="009F0C77">
      <w:r>
        <w:separator/>
      </w:r>
    </w:p>
  </w:footnote>
  <w:footnote w:type="continuationSeparator" w:id="0">
    <w:p w:rsidR="009818B7" w:rsidRDefault="00981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E0100"/>
    <w:rsid w:val="000E1785"/>
    <w:rsid w:val="000E1BCE"/>
    <w:rsid w:val="000F40FA"/>
    <w:rsid w:val="001035F1"/>
    <w:rsid w:val="0010776B"/>
    <w:rsid w:val="00133E66"/>
    <w:rsid w:val="001435A3"/>
    <w:rsid w:val="00146ED3"/>
    <w:rsid w:val="00151044"/>
    <w:rsid w:val="0015497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07B"/>
    <w:rsid w:val="004809EE"/>
    <w:rsid w:val="004838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5A"/>
    <w:rsid w:val="008362E8"/>
    <w:rsid w:val="0085786E"/>
    <w:rsid w:val="008A1768"/>
    <w:rsid w:val="008A489F"/>
    <w:rsid w:val="008F0F33"/>
    <w:rsid w:val="008F4429"/>
    <w:rsid w:val="0094021A"/>
    <w:rsid w:val="009818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E88"/>
    <w:rsid w:val="00B412D4"/>
    <w:rsid w:val="00B64FFF"/>
    <w:rsid w:val="00B72CAD"/>
    <w:rsid w:val="00BE3C22"/>
    <w:rsid w:val="00BE4485"/>
    <w:rsid w:val="00C0345E"/>
    <w:rsid w:val="00C21ABE"/>
    <w:rsid w:val="00C31C95"/>
    <w:rsid w:val="00C3483A"/>
    <w:rsid w:val="00C679C3"/>
    <w:rsid w:val="00C74E9D"/>
    <w:rsid w:val="00C826DD"/>
    <w:rsid w:val="00C82FD3"/>
    <w:rsid w:val="00C92819"/>
    <w:rsid w:val="00C95934"/>
    <w:rsid w:val="00CC6B7B"/>
    <w:rsid w:val="00CD2089"/>
    <w:rsid w:val="00D73A67"/>
    <w:rsid w:val="00D970A9"/>
    <w:rsid w:val="00DB13E5"/>
    <w:rsid w:val="00DF2AE6"/>
    <w:rsid w:val="00DF3845"/>
    <w:rsid w:val="00E41911"/>
    <w:rsid w:val="00E44B57"/>
    <w:rsid w:val="00E817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99851-1FD9-4656-8A3D-FA4EE16D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451</Words>
  <Characters>2504</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Text of Previous Version (Apr. 15, 2021) - South Carolina Legislature Online</dc:title>
  <dc:creator>Gwen Thurmond</dc:creator>
  <cp:lastModifiedBy>Danny Crook</cp:lastModifiedBy>
  <cp:revision>2</cp:revision>
  <cp:lastPrinted>2021-02-25T13:57:00Z</cp:lastPrinted>
  <dcterms:created xsi:type="dcterms:W3CDTF">2021-04-15T18:41:00Z</dcterms:created>
  <dcterms:modified xsi:type="dcterms:W3CDTF">2021-04-15T18:41:00Z</dcterms:modified>
</cp:coreProperties>
</file>