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38D6" w:rsidRP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right" w:pos="5933"/>
        </w:tabs>
        <w:suppressAutoHyphens/>
      </w:pPr>
      <w:r>
        <w:tab/>
      </w:r>
      <w:r>
        <w:rPr>
          <w:b/>
          <w:sz w:val="36"/>
        </w:rPr>
        <w:t>H. 4177</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Pope and Ligon</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4177) </w:t>
      </w:r>
      <w:r w:rsidRPr="002238D6">
        <w:rPr>
          <w:color w:val="000000" w:themeColor="text1"/>
          <w:u w:color="000000" w:themeColor="text1"/>
        </w:rPr>
        <w:t>to amend the Code of Laws of South Carolina, 1976, by adding Section 50</w:t>
      </w:r>
      <w:r w:rsidRPr="002238D6">
        <w:rPr>
          <w:color w:val="000000" w:themeColor="text1"/>
          <w:u w:color="000000" w:themeColor="text1"/>
        </w:rPr>
        <w:noBreakHyphen/>
        <w:t>3</w:t>
      </w:r>
      <w:r w:rsidRPr="002238D6">
        <w:rPr>
          <w:color w:val="000000" w:themeColor="text1"/>
          <w:u w:color="000000" w:themeColor="text1"/>
        </w:rPr>
        <w:noBreakHyphen/>
        <w:t>190 so as to require the Department of Natural Resources to hire a Waterfowl</w:t>
      </w:r>
      <w:r>
        <w:t>, etc., respectfully</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BC4">
        <w:rPr>
          <w:snapToGrid w:val="0"/>
        </w:rPr>
        <w:tab/>
        <w:t>Amend the bill, as and if amended, by striking all after the enacting words and inserting:</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w:t>
      </w:r>
      <w:r w:rsidRPr="002B0BC4">
        <w:rPr>
          <w:u w:color="000000" w:themeColor="text1"/>
        </w:rPr>
        <w:tab/>
        <w:t>SECTION</w:t>
      </w:r>
      <w:r w:rsidRPr="002B0BC4">
        <w:rPr>
          <w:u w:color="000000" w:themeColor="text1"/>
        </w:rPr>
        <w:tab/>
        <w:t>1.</w:t>
      </w:r>
      <w:r w:rsidRPr="002B0BC4">
        <w:rPr>
          <w:u w:color="000000" w:themeColor="text1"/>
        </w:rPr>
        <w:tab/>
        <w:t>Article 1, Chapter 3, Title 50 of the 1976 Code is amended by adding:</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“Section 50</w:t>
      </w:r>
      <w:r w:rsidRPr="002B0BC4">
        <w:rPr>
          <w:u w:color="000000" w:themeColor="text1"/>
        </w:rPr>
        <w:noBreakHyphen/>
        <w:t>3</w:t>
      </w:r>
      <w:r w:rsidRPr="002B0BC4">
        <w:rPr>
          <w:u w:color="000000" w:themeColor="text1"/>
        </w:rPr>
        <w:noBreakHyphen/>
        <w:t>190.</w:t>
      </w:r>
      <w:r w:rsidRPr="002B0BC4">
        <w:rPr>
          <w:u w:color="000000" w:themeColor="text1"/>
        </w:rPr>
        <w:tab/>
        <w:t>(</w:t>
      </w:r>
      <w:bookmarkStart w:id="0" w:name="temp"/>
      <w:bookmarkEnd w:id="0"/>
      <w:r w:rsidRPr="002B0BC4">
        <w:rPr>
          <w:u w:color="000000" w:themeColor="text1"/>
        </w:rPr>
        <w:t>A)</w:t>
      </w:r>
      <w:r w:rsidRPr="002B0BC4">
        <w:rPr>
          <w:u w:color="000000" w:themeColor="text1"/>
        </w:rPr>
        <w:tab/>
        <w:t>The Chief of Wildlife shall establish a Statewide Waterfowl Program Manager within the Wildlife and Freshwater Fisheries Division. The Waterfowl Program Manager shall:</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manage all aspects of the waterfowl and wetland management program where management is directed toward the requirements of native and migratory waterfowl and their allies;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 xml:space="preserve">supervise all waterfowl management activities conducted by staff and contractors for such areas;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(4)</w:t>
      </w:r>
      <w:r w:rsidRPr="002B0BC4">
        <w:rPr>
          <w:u w:color="000000" w:themeColor="text1"/>
        </w:rPr>
        <w:tab/>
        <w:t>coordinate with regional personnel on waterfowl management activities on regional wildlife management areas;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(5)</w:t>
      </w:r>
      <w:r w:rsidRPr="002B0BC4">
        <w:rPr>
          <w:u w:color="000000" w:themeColor="text1"/>
        </w:rPr>
        <w:tab/>
        <w:t xml:space="preserve">undertake all other duties as necessary to successfully conserve and manage waterfowl habitat.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(B)</w:t>
      </w:r>
      <w:r w:rsidRPr="002B0BC4">
        <w:rPr>
          <w:u w:color="000000" w:themeColor="text1"/>
        </w:rPr>
        <w:tab/>
        <w:t>The Waterfowl Program Manager must have: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a four-year bachelor's degree from an accredited post-secondary institution;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 xml:space="preserve">at least seven years of experience in waterfowl and wetlands management;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 xml:space="preserve">a high level of knowledge of waterfowl and wetland management techniques in the Southeast or Atlantic Flyway;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(4)</w:t>
      </w:r>
      <w:r w:rsidRPr="002B0BC4">
        <w:rPr>
          <w:u w:color="000000" w:themeColor="text1"/>
        </w:rPr>
        <w:tab/>
        <w:t>specialized knowledge and experience in coastal ecology, impoundment management, and the ecological principles of water control;</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(5)</w:t>
      </w:r>
      <w:r w:rsidRPr="002B0BC4">
        <w:rPr>
          <w:u w:color="000000" w:themeColor="text1"/>
        </w:rPr>
        <w:tab/>
        <w:t xml:space="preserve">experience in waterfowl resource and habitat data collection and assessment;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(6)</w:t>
      </w:r>
      <w:r w:rsidRPr="002B0BC4">
        <w:rPr>
          <w:u w:color="000000" w:themeColor="text1"/>
        </w:rPr>
        <w:tab/>
        <w:t xml:space="preserve">a fundamental understanding of federal and state waterfowl hunting rules and regulations; and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(7)</w:t>
      </w:r>
      <w:r w:rsidRPr="002B0BC4">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(C)</w:t>
      </w:r>
      <w:r w:rsidRPr="002B0BC4">
        <w:rPr>
          <w:u w:color="000000" w:themeColor="text1"/>
        </w:rPr>
        <w:tab/>
        <w:t>The department may contract with a qualified individual or entity to assist the Waterfowl Program Manager in providing the services and fulfilling the responsibilities required by the provisions of this section.”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2.</w:t>
      </w:r>
      <w:r w:rsidRPr="002B0BC4">
        <w:rPr>
          <w:u w:color="000000" w:themeColor="text1"/>
        </w:rPr>
        <w:tab/>
        <w:t>A.</w:t>
      </w:r>
      <w:r w:rsidRPr="002B0BC4">
        <w:rPr>
          <w:u w:color="000000" w:themeColor="text1"/>
        </w:rPr>
        <w:tab/>
        <w:t>Article 1, Chapter 3, Title 50 of the 1976 Code is amended by adding:</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“Section 50</w:t>
      </w:r>
      <w:r w:rsidRPr="002B0BC4">
        <w:rPr>
          <w:u w:color="000000" w:themeColor="text1"/>
        </w:rPr>
        <w:noBreakHyphen/>
        <w:t>3</w:t>
      </w:r>
      <w:r w:rsidRPr="002B0BC4">
        <w:rPr>
          <w:u w:color="000000" w:themeColor="text1"/>
        </w:rPr>
        <w:noBreakHyphen/>
        <w:t>195.(A)</w:t>
      </w:r>
      <w:r w:rsidRPr="002B0BC4">
        <w:rPr>
          <w:u w:color="000000" w:themeColor="text1"/>
        </w:rPr>
        <w:tab/>
        <w:t xml:space="preserve">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 serve for a four-year term with a limit of two consecutive </w:t>
      </w:r>
      <w:r w:rsidRPr="002B0BC4">
        <w:rPr>
          <w:highlight w:val="yellow"/>
          <w:u w:color="000000" w:themeColor="text1"/>
        </w:rPr>
        <w:t xml:space="preserve"> </w:t>
      </w:r>
      <w:r w:rsidRPr="002B0BC4">
        <w:rPr>
          <w:u w:color="000000" w:themeColor="text1"/>
        </w:rPr>
        <w:t>terms: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one member of the Board of the Department of Natural Resources appointed by the Chairman of the Board of the Department of Natural Resources, serving ex officio and without voting privileges;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 xml:space="preserve">one at-large member appointed by the Governor;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one member appointed by the Chairman of the Senate Finance Committee;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(4)</w:t>
      </w:r>
      <w:r w:rsidRPr="002B0BC4">
        <w:rPr>
          <w:u w:color="000000" w:themeColor="text1"/>
        </w:rPr>
        <w:tab/>
        <w:t>one member appointed by the Chairman of the House Ways and Means Committee;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(5)</w:t>
      </w:r>
      <w:r w:rsidRPr="002B0BC4">
        <w:rPr>
          <w:u w:color="000000" w:themeColor="text1"/>
        </w:rPr>
        <w:tab/>
        <w:t>one member appointed by the Chairman of the Senate Fish, Game and Forestry Committee;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(6)</w:t>
      </w:r>
      <w:r w:rsidRPr="002B0BC4">
        <w:rPr>
          <w:u w:color="000000" w:themeColor="text1"/>
        </w:rPr>
        <w:tab/>
        <w:t xml:space="preserve">one member appointed by the Chairman of the House Agriculture, Natural Resources and Environmental Affairs Committee.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(B)</w:t>
      </w:r>
      <w:r w:rsidRPr="002B0BC4">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(C)</w:t>
      </w:r>
      <w:r w:rsidRPr="002B0BC4">
        <w:rPr>
          <w:u w:color="000000" w:themeColor="text1"/>
        </w:rPr>
        <w:tab/>
        <w:t>Vacancies must be filled for the remainder of the unexpired term in the manner of the original appointment.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(D)</w:t>
      </w:r>
      <w:r w:rsidRPr="002B0BC4">
        <w:rPr>
          <w:u w:color="000000" w:themeColor="text1"/>
        </w:rPr>
        <w:tab/>
        <w:t>The committee shall make a report of its findings, activities, and long-term plans to the General Assembly by December thirty-first of each year.”</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shd w:val="clear" w:color="auto" w:fill="FFFFFF" w:themeFill="background1"/>
        </w:rPr>
      </w:pPr>
      <w:r>
        <w:rPr>
          <w:u w:color="000000" w:themeColor="text1"/>
        </w:rPr>
        <w:tab/>
      </w:r>
      <w:r w:rsidRPr="002B0BC4">
        <w:rPr>
          <w:u w:color="000000" w:themeColor="text1"/>
        </w:rPr>
        <w:t>B.</w:t>
      </w:r>
      <w:r w:rsidRPr="002B0BC4">
        <w:rPr>
          <w:u w:color="000000" w:themeColor="text1"/>
        </w:rPr>
        <w:tab/>
      </w:r>
      <w:r w:rsidRPr="002B0BC4">
        <w:rPr>
          <w:szCs w:val="18"/>
          <w:shd w:val="clear" w:color="auto" w:fill="FFFFFF" w:themeFill="background1"/>
        </w:rPr>
        <w:t xml:space="preserve">In order to stagger the terms of the members of the Waterfowl Advisory Committee, the initial terms of the members appointed by the Chairmen of the </w:t>
      </w:r>
      <w:r w:rsidRPr="002B0BC4">
        <w:rPr>
          <w:u w:color="000000" w:themeColor="text1"/>
        </w:rPr>
        <w:t>Senate Fish, Game and Forestry Committee</w:t>
      </w:r>
      <w:r w:rsidRPr="002B0BC4">
        <w:rPr>
          <w:szCs w:val="18"/>
          <w:shd w:val="clear" w:color="auto" w:fill="FFFFFF" w:themeFill="background1"/>
        </w:rPr>
        <w:t xml:space="preserve"> and the </w:t>
      </w:r>
      <w:r w:rsidRPr="002B0BC4">
        <w:rPr>
          <w:u w:color="000000" w:themeColor="text1"/>
        </w:rPr>
        <w:t>House Agriculture, Natural Resources and Environmental Affairs Committee</w:t>
      </w:r>
      <w:r w:rsidRPr="002B0BC4">
        <w:rPr>
          <w:szCs w:val="18"/>
          <w:shd w:val="clear" w:color="auto" w:fill="FFFFFF" w:themeFill="background1"/>
        </w:rPr>
        <w:t xml:space="preserve"> are for two years. The initial terms of these members must not be counted for purposes of the two term limit in Section 50-3-195(A).</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3.</w:t>
      </w:r>
      <w:r w:rsidRPr="002B0BC4">
        <w:rPr>
          <w:u w:color="000000" w:themeColor="text1"/>
        </w:rPr>
        <w:tab/>
        <w:t>Section 50</w:t>
      </w:r>
      <w:r w:rsidRPr="002B0BC4">
        <w:rPr>
          <w:u w:color="000000" w:themeColor="text1"/>
        </w:rPr>
        <w:noBreakHyphen/>
        <w:t>9</w:t>
      </w:r>
      <w:r w:rsidRPr="002B0BC4">
        <w:rPr>
          <w:u w:color="000000" w:themeColor="text1"/>
        </w:rPr>
        <w:noBreakHyphen/>
        <w:t xml:space="preserve">510(E) of the 1976 Code is amended to read: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“(E)</w:t>
      </w:r>
      <w:r w:rsidRPr="002B0BC4">
        <w:rPr>
          <w:u w:color="000000" w:themeColor="text1"/>
        </w:rPr>
        <w:tab/>
        <w:t>For the privilege of hunting migratory waterfowl, in addition to the required hunting license and permits and any required federal stamp or permit: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 xml:space="preserve">a resident must purchase a migratory waterfowl permit for </w:t>
      </w:r>
      <w:r w:rsidRPr="002B0BC4">
        <w:rPr>
          <w:strike/>
          <w:u w:color="000000" w:themeColor="text1"/>
        </w:rPr>
        <w:t>five</w:t>
      </w:r>
      <w:r w:rsidRPr="002B0BC4">
        <w:rPr>
          <w:u w:color="000000" w:themeColor="text1"/>
        </w:rPr>
        <w:t xml:space="preserve"> </w:t>
      </w:r>
      <w:r w:rsidRPr="002B0BC4">
        <w:rPr>
          <w:u w:val="single" w:color="000000" w:themeColor="text1"/>
        </w:rPr>
        <w:t>fifteen</w:t>
      </w:r>
      <w:r w:rsidRPr="002B0BC4">
        <w:rPr>
          <w:u w:color="000000" w:themeColor="text1"/>
        </w:rPr>
        <w:t xml:space="preserve"> dollars and fifty cents, fifty cents of which the issuing sales vendor may retain;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 xml:space="preserve">a nonresident must purchase a migratory waterfowl permit for </w:t>
      </w:r>
      <w:r w:rsidRPr="002B0BC4">
        <w:rPr>
          <w:strike/>
          <w:u w:color="000000" w:themeColor="text1"/>
        </w:rPr>
        <w:t>five</w:t>
      </w:r>
      <w:r w:rsidRPr="002B0BC4">
        <w:rPr>
          <w:u w:color="000000" w:themeColor="text1"/>
        </w:rPr>
        <w:t xml:space="preserve"> </w:t>
      </w:r>
      <w:r w:rsidRPr="002B0BC4">
        <w:rPr>
          <w:u w:val="single" w:color="000000" w:themeColor="text1"/>
        </w:rPr>
        <w:t>fifteen</w:t>
      </w:r>
      <w:r w:rsidRPr="002B0BC4">
        <w:rPr>
          <w:u w:color="000000" w:themeColor="text1"/>
        </w:rPr>
        <w:t xml:space="preserve"> dollars and fifty cents, fifty cents of which the issuing sales vendor may retain.”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4.</w:t>
      </w:r>
      <w:r w:rsidRPr="002B0BC4">
        <w:rPr>
          <w:u w:color="000000" w:themeColor="text1"/>
        </w:rPr>
        <w:tab/>
        <w:t>Section 50</w:t>
      </w:r>
      <w:r w:rsidRPr="002B0BC4">
        <w:rPr>
          <w:u w:color="000000" w:themeColor="text1"/>
        </w:rPr>
        <w:noBreakHyphen/>
        <w:t>9</w:t>
      </w:r>
      <w:r w:rsidRPr="002B0BC4">
        <w:rPr>
          <w:u w:color="000000" w:themeColor="text1"/>
        </w:rPr>
        <w:noBreakHyphen/>
        <w:t>920(B) of the 1976 Code, as last amended by Act 152 of 2020, is further amended to read: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(B)</w:t>
      </w:r>
      <w:r w:rsidRPr="002B0BC4">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(1)</w:t>
      </w:r>
      <w:r w:rsidRPr="002B0BC4">
        <w:rPr>
          <w:u w:color="000000" w:themeColor="text1"/>
        </w:rPr>
        <w:tab/>
        <w:t>wildlife management area permit shall be used for the management and the procurement of wildlife management area lands;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nonresident annual statewide hunting license shall be used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 xml:space="preserve">one dollar for the propagation, management, and protection of ducks and geese in this State; </w:t>
      </w:r>
      <w:r w:rsidRPr="002B0BC4">
        <w:rPr>
          <w:u w:val="single" w:color="000000" w:themeColor="text1"/>
        </w:rPr>
        <w:t>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r>
      <w:r w:rsidRPr="002B0BC4">
        <w:rPr>
          <w:strike/>
          <w:u w:color="000000" w:themeColor="text1"/>
        </w:rPr>
        <w:t>one dollar contributed by the department to proper agencies along the Atlantic Flyway for the propagation, management, and protection of ducks and geese;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strike/>
          <w:u w:color="000000" w:themeColor="text1"/>
        </w:rPr>
        <w:t>(c)</w:t>
      </w:r>
      <w:r w:rsidRPr="002B0BC4">
        <w:rPr>
          <w:u w:color="000000" w:themeColor="text1"/>
        </w:rPr>
        <w:tab/>
        <w:t>the balance to the Fish and Wildlife Protection Fund;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nonresident temporary statewide hunting license shall be used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 xml:space="preserve">fifty cents for the propagation, management, and protection of ducks and geese in this State; </w:t>
      </w:r>
      <w:r w:rsidRPr="002B0BC4">
        <w:rPr>
          <w:u w:val="single" w:color="000000" w:themeColor="text1"/>
        </w:rPr>
        <w:t>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r>
      <w:r w:rsidRPr="002B0BC4">
        <w:rPr>
          <w:strike/>
          <w:u w:color="000000" w:themeColor="text1"/>
        </w:rPr>
        <w:t>fifty cents contributed by the department to proper agencies along the Atlantic Flyway for the propagation, management, and protection of ducks and geese;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strike/>
          <w:u w:color="000000" w:themeColor="text1"/>
        </w:rPr>
        <w:t>(c)</w:t>
      </w:r>
      <w:r w:rsidRPr="002B0BC4">
        <w:rPr>
          <w:u w:color="000000" w:themeColor="text1"/>
        </w:rPr>
        <w:tab/>
        <w:t>the balance to the Fish and Wildlife Protection Fund;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(4)</w:t>
      </w:r>
      <w:r w:rsidRPr="002B0BC4">
        <w:rPr>
          <w:u w:color="000000" w:themeColor="text1"/>
        </w:rPr>
        <w:tab/>
        <w:t>nonresident annual freshwater fishing license shall be distributed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twenty</w:t>
      </w:r>
      <w:r w:rsidRPr="002B0BC4">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t>twenty</w:t>
      </w:r>
      <w:r w:rsidRPr="002B0BC4">
        <w:rPr>
          <w:u w:color="000000" w:themeColor="text1"/>
        </w:rPr>
        <w:noBreakHyphen/>
        <w:t>five percent for the operation and management of department freshwater fish hatcheries;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(c)</w:t>
      </w:r>
      <w:r w:rsidRPr="002B0BC4">
        <w:rPr>
          <w:u w:color="000000" w:themeColor="text1"/>
        </w:rPr>
        <w:tab/>
        <w:t>the balance to the Fish and Wildlife Protection Fund;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(5)</w:t>
      </w:r>
      <w:r w:rsidRPr="002B0BC4">
        <w:rPr>
          <w:u w:color="000000" w:themeColor="text1"/>
        </w:rPr>
        <w:tab/>
        <w:t>application fee, permit, tag, and nonresident hunting fee for the privilege of hunting alligators shall be used to administer the alligator management program;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(6)</w:t>
      </w:r>
      <w:r w:rsidRPr="002B0BC4">
        <w:rPr>
          <w:u w:color="000000" w:themeColor="text1"/>
        </w:rPr>
        <w:tab/>
        <w:t>Deer Quota Program permit shall be exclusively used to administer the Deer Quota Program and for deer management and research;</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(7)</w:t>
      </w:r>
      <w:r w:rsidRPr="002B0BC4">
        <w:rPr>
          <w:u w:color="000000" w:themeColor="text1"/>
        </w:rPr>
        <w:tab/>
        <w:t>individual antlerless and nonresident antlered deer tags shall be used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eighty percent to administer the tag program, deer management, and research;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t>the remaining twenty percent for law enforcement;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(8)</w:t>
      </w:r>
      <w:r w:rsidRPr="002B0BC4">
        <w:rPr>
          <w:u w:color="000000" w:themeColor="text1"/>
        </w:rPr>
        <w:tab/>
        <w:t>application fee, permit, and tag for the privilege of hunting bear shall be used to administer the tag program, protect bear habitats, and support bear research and management;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(9)</w:t>
      </w:r>
      <w:r w:rsidRPr="002B0BC4">
        <w:rPr>
          <w:u w:color="000000" w:themeColor="text1"/>
        </w:rPr>
        <w:tab/>
        <w:t>field trial permit and shooting preserve operation permit shall be used to support the management of small game programs;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(10)</w:t>
      </w:r>
      <w:r w:rsidRPr="002B0BC4">
        <w:rPr>
          <w:u w:color="000000" w:themeColor="text1"/>
        </w:rPr>
        <w:tab/>
        <w:t>lottery hunt application fee shall be used to administer the lottery hunt program and support management of lands on which the lottery hunts take place;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(11)</w:t>
      </w:r>
      <w:r w:rsidRPr="002B0BC4">
        <w:rPr>
          <w:u w:color="000000" w:themeColor="text1"/>
        </w:rPr>
        <w:tab/>
        <w:t>falconry permit shall be used to support the falconry permitting program;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(12)</w:t>
      </w:r>
      <w:r w:rsidRPr="002B0BC4">
        <w:rPr>
          <w:u w:color="000000" w:themeColor="text1"/>
        </w:rPr>
        <w:tab/>
        <w:t>resident antler restriction individual antlered deer tag shall be used to administer the Coyote Management Program;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(13)</w:t>
      </w:r>
      <w:r w:rsidRPr="002B0BC4">
        <w:rPr>
          <w:u w:color="000000" w:themeColor="text1"/>
        </w:rPr>
        <w:tab/>
        <w:t>resident and nonresident wild turkey tags shall only be used for the following purposes: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the funding of wild turkey scientific research on public lands and private lands with the consent of landowners;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t>the improvement of the wild turkey habitat and hunting opportunities for wild turkeys on public lands;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(c)</w:t>
      </w:r>
      <w:r w:rsidRPr="002B0BC4">
        <w:rPr>
          <w:u w:color="000000" w:themeColor="text1"/>
        </w:rPr>
        <w:tab/>
        <w:t>wild turkey predator control;</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(d)</w:t>
      </w:r>
      <w:r w:rsidRPr="002B0BC4">
        <w:rPr>
          <w:u w:color="000000" w:themeColor="text1"/>
        </w:rPr>
        <w:tab/>
        <w:t>the enforcement of the wild turkey hunting laws and regulations;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(e)</w:t>
      </w:r>
      <w:r w:rsidRPr="002B0BC4">
        <w:rPr>
          <w:u w:color="000000" w:themeColor="text1"/>
        </w:rPr>
        <w:tab/>
        <w:t>the printing and mailing of the wild turkey tags;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t>(14)(</w:t>
      </w:r>
      <w:r w:rsidRPr="002B0BC4">
        <w:rPr>
          <w:u w:val="single" w:color="000000" w:themeColor="text1"/>
        </w:rPr>
        <w:t>a)</w:t>
      </w:r>
      <w:r w:rsidRPr="002B0BC4">
        <w:rPr>
          <w:u w:color="000000" w:themeColor="text1"/>
        </w:rPr>
        <w:tab/>
        <w:t xml:space="preserve">resident and nonresident migratory waterfowl permit shall be used for the management of waterfowl habitats and for the development, protection, </w:t>
      </w:r>
      <w:r w:rsidRPr="002B0BC4">
        <w:rPr>
          <w:u w:val="single" w:color="000000" w:themeColor="text1"/>
        </w:rPr>
        <w:t>management,</w:t>
      </w:r>
      <w:r w:rsidRPr="002B0BC4">
        <w:rPr>
          <w:u w:color="000000" w:themeColor="text1"/>
        </w:rPr>
        <w:t xml:space="preserve"> and propagation of </w:t>
      </w:r>
      <w:r w:rsidRPr="002B0BC4">
        <w:rPr>
          <w:u w:val="single" w:color="000000" w:themeColor="text1"/>
        </w:rPr>
        <w:t>wild</w:t>
      </w:r>
      <w:r w:rsidRPr="002B0BC4">
        <w:rPr>
          <w:u w:color="000000" w:themeColor="text1"/>
        </w:rPr>
        <w:t xml:space="preserve"> waterfowl in this State</w:t>
      </w:r>
      <w:r w:rsidRPr="002B0BC4">
        <w:rPr>
          <w:strike/>
          <w:u w:color="000000" w:themeColor="text1"/>
        </w:rPr>
        <w:t>, provided that</w:t>
      </w:r>
      <w:r w:rsidRPr="002B0BC4">
        <w:rPr>
          <w:u w:color="000000" w:themeColor="text1"/>
        </w:rPr>
        <w:t xml:space="preserve"> </w:t>
      </w:r>
      <w:r w:rsidRPr="002B0BC4">
        <w:rPr>
          <w:u w:val="single" w:color="000000" w:themeColor="text1"/>
        </w:rPr>
        <w:t>and along the Atlantic Flyway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w:t>
      </w:r>
      <w:r w:rsidRPr="002B0BC4">
        <w:rPr>
          <w:u w:color="000000" w:themeColor="text1"/>
        </w:rPr>
        <w:t xml:space="preserve"> </w:t>
      </w:r>
      <w:r w:rsidRPr="002B0BC4">
        <w:rPr>
          <w:u w:color="000000" w:themeColor="text1"/>
        </w:rPr>
        <w:tab/>
      </w:r>
      <w:r w:rsidRPr="002B0BC4">
        <w:rPr>
          <w:u w:val="single" w:color="000000" w:themeColor="text1"/>
        </w:rPr>
        <w:t>a minimum of two hundred and fifty thousand dollars of revenue received annually from the waterfowl permit fee must be used to restore and manage waterfowl habitat on state wildlife management areas and such funds must be leveraged with other sources when available;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(ii)</w:t>
      </w:r>
      <w:r w:rsidRPr="002B0BC4">
        <w:rPr>
          <w:u w:color="000000" w:themeColor="text1"/>
        </w:rPr>
        <w:tab/>
      </w:r>
      <w:r w:rsidRPr="002B0BC4">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(iii)</w:t>
      </w:r>
      <w:r w:rsidRPr="002B0BC4">
        <w:rPr>
          <w:u w:color="000000" w:themeColor="text1"/>
        </w:rPr>
        <w:tab/>
      </w:r>
      <w:r w:rsidRPr="002B0BC4">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(iv)</w:t>
      </w:r>
      <w:r w:rsidRPr="002B0BC4">
        <w:rPr>
          <w:u w:color="000000" w:themeColor="text1"/>
        </w:rPr>
        <w:tab/>
      </w:r>
      <w:r w:rsidRPr="002B0BC4">
        <w:rPr>
          <w:u w:val="single" w:color="000000" w:themeColor="text1"/>
        </w:rPr>
        <w:t>all remaining annual funds shall be used for the development, protection, management, and propagation of wild waterfowl in this State.  All balances must be retained and carried forward annually.</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r>
      <w:r w:rsidRPr="002B0BC4">
        <w:rPr>
          <w:u w:color="000000" w:themeColor="text1"/>
        </w:rPr>
        <w:tab/>
      </w:r>
      <w:r w:rsidRPr="002B0BC4">
        <w:rPr>
          <w:u w:val="single" w:color="000000" w:themeColor="text1"/>
        </w:rPr>
        <w:t>(b)</w:t>
      </w:r>
      <w:r w:rsidRPr="002B0BC4">
        <w:rPr>
          <w:u w:color="000000" w:themeColor="text1"/>
        </w:rPr>
        <w:tab/>
        <w:t>no revenue generated from the sale of a waterfowl permit may be expended for administrative salaries.”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5.</w:t>
      </w:r>
      <w:r w:rsidRPr="002B0BC4">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2B0BC4">
        <w:rPr>
          <w:u w:color="000000" w:themeColor="text1"/>
        </w:rPr>
        <w:t>SECTION</w:t>
      </w:r>
      <w:r w:rsidRPr="002B0BC4">
        <w:rPr>
          <w:u w:color="000000" w:themeColor="text1"/>
        </w:rPr>
        <w:tab/>
        <w:t>6.</w:t>
      </w:r>
      <w:r w:rsidRPr="002B0BC4">
        <w:rPr>
          <w:u w:color="000000" w:themeColor="text1"/>
        </w:rPr>
        <w:tab/>
        <w:t>This act takes effect July 1, 2022.</w:t>
      </w:r>
      <w:r w:rsidRPr="002B0BC4">
        <w:rPr>
          <w:u w:color="000000" w:themeColor="text1"/>
        </w:rPr>
        <w:tab/>
      </w:r>
      <w:r w:rsidRPr="002B0BC4">
        <w:rPr>
          <w:u w:color="000000" w:themeColor="text1"/>
        </w:rPr>
        <w:tab/>
        <w: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BC4">
        <w:rPr>
          <w:snapToGrid w:val="0"/>
        </w:rPr>
        <w:tab/>
        <w:t>Renumber sections to conform.</w:t>
      </w: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BC4">
        <w:rPr>
          <w:snapToGrid w:val="0"/>
        </w:rPr>
        <w:tab/>
        <w:t>Amend title to conform.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8D6"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2"/>
    </w:p>
    <w:p w:rsidR="0010776B" w:rsidRDefault="00AF3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AF3E5B" w:rsidRDefault="00AF3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1.</w:t>
      </w:r>
      <w:r w:rsidRPr="008961E8">
        <w:rPr>
          <w:u w:color="000000" w:themeColor="text1"/>
        </w:rPr>
        <w:tab/>
        <w:t>Article 1, Chapter 3, Title 50 of the 1976 Code is amended by adding:</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190.</w:t>
      </w:r>
      <w:r w:rsidRPr="008961E8">
        <w:rPr>
          <w:u w:color="000000" w:themeColor="text1"/>
        </w:rPr>
        <w:tab/>
        <w:t>(A)</w:t>
      </w:r>
      <w:r w:rsidRPr="008961E8">
        <w:rPr>
          <w:u w:color="000000" w:themeColor="text1"/>
        </w:rPr>
        <w:tab/>
        <w:t xml:space="preserve">The Chief of Wildlife shall establish a Statewide Waterfowl Program Manager within the Wildlife and </w:t>
      </w:r>
      <w:r w:rsidRPr="008961E8">
        <w:rPr>
          <w:u w:color="000000" w:themeColor="text1"/>
        </w:rPr>
        <w:lastRenderedPageBreak/>
        <w:t>Freshwater Fisheries Division. The Waterfowl Program Manager shall: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masters degree in biology or wildlife management;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 xml:space="preserve">The department may employ or contract with a qualified individual or entity to provide the services and complete the responsibilities required by the provisions of this section.” </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2.</w:t>
      </w:r>
      <w:r w:rsidRPr="008961E8">
        <w:rPr>
          <w:u w:color="000000" w:themeColor="text1"/>
        </w:rPr>
        <w:tab/>
        <w:t xml:space="preserve">Article 1, Chapter 3, Title 50 of the 1976 Code is amended by adding: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195.(A)</w:t>
      </w:r>
      <w:r w:rsidRPr="008961E8">
        <w:rPr>
          <w:u w:color="000000" w:themeColor="text1"/>
        </w:rPr>
        <w:tab/>
        <w:t xml:space="preserve">The Waterfowl Advisory Committee is established to assist in the management of waterfowl habitats, assist in the development, protection, and propagation of waterfowl in this </w:t>
      </w:r>
      <w:r w:rsidRPr="008961E8">
        <w:rPr>
          <w:u w:color="000000" w:themeColor="text1"/>
        </w:rPr>
        <w:lastRenderedPageBreak/>
        <w:t>State, assist in prioritizing the expenditures of monies to accomplish this purpose, and review the activities of the Waterfowl Program Manager of the department. The committee consists of the following members who</w:t>
      </w:r>
      <w:r>
        <w:rPr>
          <w:u w:color="000000" w:themeColor="text1"/>
        </w:rPr>
        <w:t xml:space="preserve"> serve for a four-</w:t>
      </w:r>
      <w:r w:rsidRPr="008961E8">
        <w:rPr>
          <w:u w:color="000000" w:themeColor="text1"/>
        </w:rPr>
        <w:t>year term with a limit of two consecutive terms: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one member of the Board of the Department of Natural Resources appointed by the Chairman of the Board of the Department of Natural Resources, serving ex officio;</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Pr="008961E8">
        <w:rPr>
          <w:u w:color="000000" w:themeColor="text1"/>
        </w:rPr>
        <w:t xml:space="preserve">large member appointed by the Governor;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one member appointed by the Chairman of the Senate Fish, Game and Forestry Committee;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Pr>
          <w:u w:color="000000" w:themeColor="text1"/>
        </w:rPr>
        <w:t>-</w:t>
      </w:r>
      <w:r w:rsidRPr="008961E8">
        <w:rPr>
          <w:u w:color="000000" w:themeColor="text1"/>
        </w:rPr>
        <w:t>term plans to the General Assembly by December thirty</w:t>
      </w:r>
      <w:r>
        <w:rPr>
          <w:u w:color="000000" w:themeColor="text1"/>
        </w:rPr>
        <w:t>-</w:t>
      </w:r>
      <w:r w:rsidRPr="008961E8">
        <w:rPr>
          <w:u w:color="000000" w:themeColor="text1"/>
        </w:rPr>
        <w:t>first of each year.”</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“(E)</w:t>
      </w:r>
      <w:r w:rsidRPr="008961E8">
        <w:rPr>
          <w:u w:color="000000" w:themeColor="text1"/>
        </w:rPr>
        <w:tab/>
        <w:t>For the privilege of hunting migratory waterfowl, in addition to the required hunting license and permits and any required federal stamp or permit: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43802"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SECTION</w:t>
      </w:r>
      <w:r w:rsidRPr="008961E8">
        <w:rPr>
          <w:u w:color="000000" w:themeColor="text1"/>
        </w:rPr>
        <w:tab/>
        <w:t>4.</w:t>
      </w:r>
      <w:r w:rsidRPr="008961E8">
        <w:rPr>
          <w:u w:color="000000" w:themeColor="text1"/>
        </w:rPr>
        <w:tab/>
        <w:t>Section 50</w:t>
      </w:r>
      <w:r w:rsidRPr="008961E8">
        <w:rPr>
          <w:u w:color="000000" w:themeColor="text1"/>
        </w:rPr>
        <w:noBreakHyphen/>
        <w:t>9</w:t>
      </w:r>
      <w:r w:rsidRPr="008961E8">
        <w:rPr>
          <w:u w:color="000000" w:themeColor="text1"/>
        </w:rPr>
        <w:noBreakHyphen/>
        <w:t xml:space="preserve">520(B) of the 1976 Code, as last amended by Act 152 of 2020, is further amended to read: </w:t>
      </w:r>
    </w:p>
    <w:p w:rsidR="00643802" w:rsidRPr="008961E8"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43802" w:rsidRPr="008961E8"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nonresident temporary statewide hunting license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(7)</w:t>
      </w:r>
      <w:r w:rsidRPr="008961E8">
        <w:rPr>
          <w:u w:color="000000" w:themeColor="text1"/>
        </w:rPr>
        <w:tab/>
        <w:t>individual antlerless and nonresident antlered deer tags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t>(14)(</w:t>
      </w:r>
      <w:r w:rsidRPr="008961E8">
        <w:rPr>
          <w:u w:val="single" w:color="000000" w:themeColor="text1"/>
        </w:rPr>
        <w:t>a)</w:t>
      </w:r>
      <w:r w:rsidRPr="008961E8">
        <w:rPr>
          <w:u w:color="000000" w:themeColor="text1"/>
        </w:rPr>
        <w:tab/>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gross revenue received from the waterfowl permit fee must be used to restore and manage waterfowl habitat on state wildlife management areas and such funds must be leveraged with other sources when available;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lastRenderedPageBreak/>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 funds shall be used for the development, protection, management, and propagation of wild waterfowl in this State.  All balances must be retained and carried forward annually.</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01F0"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61E8">
        <w:rPr>
          <w:u w:color="000000" w:themeColor="text1"/>
        </w:rPr>
        <w:t>SECTION</w:t>
      </w:r>
      <w:r w:rsidRPr="008961E8">
        <w:rPr>
          <w:u w:color="000000" w:themeColor="text1"/>
        </w:rPr>
        <w:tab/>
        <w:t>6.</w:t>
      </w:r>
      <w:r w:rsidRPr="008961E8">
        <w:rPr>
          <w:u w:color="000000" w:themeColor="text1"/>
        </w:rPr>
        <w:tab/>
        <w:t>This act takes effect July 1, 2022.</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DB4" w:rsidRDefault="00860DB4" w:rsidP="00860DB4">
      <w:pPr>
        <w:suppressAutoHyphens/>
      </w:pPr>
    </w:p>
    <w:sectPr w:rsidR="00860DB4"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961246-31F3-4DC1-8468-9B3EA66D6D15}"/>
    <w:embedBold r:id="rId2" w:fontKey="{17448980-1E70-4C0C-8CD8-03E875410A01}"/>
  </w:font>
  <w:font w:name="Calibri">
    <w:panose1 w:val="020F0502020204030204"/>
    <w:charset w:val="00"/>
    <w:family w:val="swiss"/>
    <w:pitch w:val="variable"/>
    <w:sig w:usb0="A0002AEF" w:usb1="4000207B" w:usb2="00000000" w:usb3="00000000" w:csb0="000001FF" w:csb1="00000000"/>
    <w:embedRegular r:id="rId3" w:fontKey="{B37C53D7-D843-4A13-AC81-C90CD5686BDA}"/>
  </w:font>
  <w:font w:name="Segoe UI">
    <w:panose1 w:val="020B0502040204020203"/>
    <w:charset w:val="00"/>
    <w:family w:val="swiss"/>
    <w:pitch w:val="variable"/>
    <w:sig w:usb0="E4002EFF" w:usb1="C000E47F" w:usb2="00000009" w:usb3="00000000" w:csb0="000001FF" w:csb1="00000000"/>
    <w:embedRegular r:id="rId4" w:fontKey="{E609E255-A1BA-4DD2-9989-F3F91C7C76ED}"/>
  </w:font>
  <w:font w:name="Cambria">
    <w:panose1 w:val="02040503050406030204"/>
    <w:charset w:val="00"/>
    <w:family w:val="roman"/>
    <w:pitch w:val="variable"/>
    <w:sig w:usb0="A00002EF" w:usb1="4000004B" w:usb2="00000000" w:usb3="00000000" w:csb0="0000019F" w:csb1="00000000"/>
    <w:embedRegular r:id="rId5" w:fontKey="{34C3443E-A0DF-4A53-B67D-EE6065AF98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860DB4">
      <w:rPr>
        <w:noProof/>
      </w:rPr>
      <w:t>6</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860D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238D6"/>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40761"/>
    <w:rsid w:val="00643802"/>
    <w:rsid w:val="00664A8B"/>
    <w:rsid w:val="006712CF"/>
    <w:rsid w:val="006913C9"/>
    <w:rsid w:val="0069470D"/>
    <w:rsid w:val="006D58AA"/>
    <w:rsid w:val="00734F00"/>
    <w:rsid w:val="00736959"/>
    <w:rsid w:val="00750049"/>
    <w:rsid w:val="007A70AE"/>
    <w:rsid w:val="00805BA8"/>
    <w:rsid w:val="008362E8"/>
    <w:rsid w:val="0085786E"/>
    <w:rsid w:val="00860DB4"/>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AD7FFC"/>
    <w:rsid w:val="00AF3E5B"/>
    <w:rsid w:val="00B01DB2"/>
    <w:rsid w:val="00B412D4"/>
    <w:rsid w:val="00B64FFF"/>
    <w:rsid w:val="00BE3C22"/>
    <w:rsid w:val="00C0345E"/>
    <w:rsid w:val="00C21ABE"/>
    <w:rsid w:val="00C31C95"/>
    <w:rsid w:val="00C3483A"/>
    <w:rsid w:val="00C74E9D"/>
    <w:rsid w:val="00C766E6"/>
    <w:rsid w:val="00C826DD"/>
    <w:rsid w:val="00C82FD3"/>
    <w:rsid w:val="00C92819"/>
    <w:rsid w:val="00CA3BA6"/>
    <w:rsid w:val="00CC6B7B"/>
    <w:rsid w:val="00CD2089"/>
    <w:rsid w:val="00CE57BA"/>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00C43-83CA-47C2-B0D2-2848EBCF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3360</Words>
  <Characters>18011</Characters>
  <Application>Microsoft Office Word</Application>
  <DocSecurity>0</DocSecurity>
  <Lines>454</Lines>
  <Paragraphs>162</Paragraphs>
  <ScaleCrop>false</ScaleCrop>
  <HeadingPairs>
    <vt:vector size="2" baseType="variant">
      <vt:variant>
        <vt:lpstr>Title</vt:lpstr>
      </vt:variant>
      <vt:variant>
        <vt:i4>1</vt:i4>
      </vt:variant>
    </vt:vector>
  </HeadingPairs>
  <TitlesOfParts>
    <vt:vector size="1" baseType="lpstr">
      <vt:lpstr>2021-2022 Bill 4177: Subject not yet available - South Carolina Legislature Online</vt:lpstr>
    </vt:vector>
  </TitlesOfParts>
  <Company>LPITS</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(Mar. 17, 2022) - South Carolina Legislature Online</dc:title>
  <dc:creator>Del Flint</dc:creator>
  <cp:lastModifiedBy>Miriam Cook</cp:lastModifiedBy>
  <cp:revision>2</cp:revision>
  <cp:lastPrinted>2022-02-02T20:32:00Z</cp:lastPrinted>
  <dcterms:created xsi:type="dcterms:W3CDTF">2022-03-17T22:57:00Z</dcterms:created>
  <dcterms:modified xsi:type="dcterms:W3CDTF">2022-03-17T22:57:00Z</dcterms:modified>
</cp:coreProperties>
</file>