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85DD6" w14:textId="37C250BF"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4A078BE" w14:textId="5A191259"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0A57887E" w14:textId="2DAABBB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F0316D" w14:textId="027A69E0" w:rsidR="00B80951" w:rsidRPr="00B80951" w:rsidRDefault="00B80951" w:rsidP="00B80951">
      <w:pPr>
        <w:tabs>
          <w:tab w:val="right" w:pos="5933"/>
        </w:tabs>
        <w:suppressAutoHyphens/>
        <w:jc w:val="both"/>
        <w:rPr>
          <w:rFonts w:eastAsia="Times New Roman"/>
        </w:rPr>
      </w:pPr>
      <w:r>
        <w:rPr>
          <w:rFonts w:eastAsia="Times New Roman"/>
        </w:rPr>
        <w:tab/>
      </w:r>
      <w:r>
        <w:rPr>
          <w:rFonts w:eastAsia="Times New Roman"/>
          <w:b/>
          <w:sz w:val="36"/>
        </w:rPr>
        <w:t>S. 429</w:t>
      </w:r>
    </w:p>
    <w:p w14:paraId="57D88B47" w14:textId="47F92568"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1CE557" w14:textId="6CE9F5A0" w:rsid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Senn</w:t>
      </w:r>
    </w:p>
    <w:p w14:paraId="43B6C69A" w14:textId="7ED6037E"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0FDB2" w14:textId="71219BCA"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14:paraId="31629749" w14:textId="39813E62"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571D7D99" w14:textId="48DD5F81" w:rsidR="00B80951" w:rsidRP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E5F5A5" w14:textId="040571B1"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752FD" w14:textId="1A4189B7" w:rsidR="00B80951" w:rsidRP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0FD8A64" w14:textId="22BAA4A4"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429) </w:t>
      </w:r>
      <w:r w:rsidRPr="00B80951">
        <w:t>to amend Article 1, Chapter 3, Title 16 of the 1976 Code, relating to homicide, by adding Section 16</w:t>
      </w:r>
      <w:r w:rsidRPr="00B80951">
        <w:noBreakHyphen/>
        <w:t>3</w:t>
      </w:r>
      <w:r w:rsidRPr="00B80951">
        <w:noBreakHyphen/>
        <w:t xml:space="preserve">80, </w:t>
      </w:r>
      <w:r>
        <w:rPr>
          <w:rFonts w:eastAsia="Times New Roman"/>
        </w:rPr>
        <w:t>to create the offense of, etc., respectfully</w:t>
      </w:r>
    </w:p>
    <w:p w14:paraId="253D06AA" w14:textId="11CDD45F" w:rsidR="00B80951" w:rsidRP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DB23368" w14:textId="656086B2"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31C5399" w14:textId="7777777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A3F49"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Amend the bill, as and if amended, by striking all after the enacting words and inserting:</w:t>
      </w:r>
    </w:p>
    <w:p w14:paraId="1EEA9F93"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w:t>
      </w:r>
      <w:r w:rsidRPr="00082BE8">
        <w:rPr>
          <w:rFonts w:eastAsia="Times New Roman"/>
          <w:snapToGrid w:val="0"/>
          <w:szCs w:val="20"/>
        </w:rPr>
        <w:tab/>
      </w:r>
      <w:r w:rsidRPr="00082BE8">
        <w:rPr>
          <w:rFonts w:eastAsia="Times New Roman"/>
          <w:snapToGrid w:val="0"/>
          <w:szCs w:val="20"/>
        </w:rPr>
        <w:tab/>
        <w:t>SECTION</w:t>
      </w:r>
      <w:r w:rsidRPr="00082BE8">
        <w:rPr>
          <w:rFonts w:eastAsia="Times New Roman"/>
          <w:snapToGrid w:val="0"/>
          <w:szCs w:val="20"/>
        </w:rPr>
        <w:tab/>
        <w:t>1.</w:t>
      </w:r>
      <w:r w:rsidRPr="00082BE8">
        <w:rPr>
          <w:rFonts w:eastAsia="Times New Roman"/>
          <w:snapToGrid w:val="0"/>
          <w:szCs w:val="20"/>
        </w:rPr>
        <w:tab/>
        <w:t>Article 1, Chapter 3, Title 16 of the 1976 Code is amended by adding:</w:t>
      </w:r>
    </w:p>
    <w:p w14:paraId="29F88BE4"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“Section 16-3-80.</w:t>
      </w:r>
      <w:r w:rsidRPr="00082BE8">
        <w:rPr>
          <w:rFonts w:eastAsia="Times New Roman"/>
          <w:snapToGrid w:val="0"/>
          <w:szCs w:val="20"/>
        </w:rPr>
        <w:tab/>
        <w:t>(A)</w:t>
      </w:r>
      <w:r w:rsidRPr="00082BE8">
        <w:rPr>
          <w:rFonts w:eastAsia="Times New Roman"/>
          <w:snapToGrid w:val="0"/>
          <w:szCs w:val="20"/>
        </w:rPr>
        <w:tab/>
        <w:t>A person who unlawfully delivers, dispenses, or otherwise provides a fentanyl or a fentanyl-related substance as defined in Section 44-53-190(B) and Section 44-53-210(c)(6) to another person, in violation of the provisions of Section 44-53-370, if the proximate cause of the death of any other person is the injection, inhalation, absorption, or ingestion of any amount of the fentanyl or fentanyl-related substance, commits the felony offense of fentanyl-induced homicide.</w:t>
      </w:r>
    </w:p>
    <w:p w14:paraId="3F1B7A3A"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(B)</w:t>
      </w:r>
      <w:r w:rsidRPr="00082BE8">
        <w:rPr>
          <w:rFonts w:eastAsia="Times New Roman"/>
          <w:snapToGrid w:val="0"/>
          <w:szCs w:val="20"/>
        </w:rPr>
        <w:tab/>
        <w:t>A person convicted of a fentanyl-induced homicide pursuant to the provisions of this section must be imprisoned not more than thirty years.</w:t>
      </w:r>
    </w:p>
    <w:p w14:paraId="1C2CD917"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(C)</w:t>
      </w:r>
      <w:r w:rsidRPr="00082BE8">
        <w:rPr>
          <w:rFonts w:eastAsia="Times New Roman"/>
          <w:snapToGrid w:val="0"/>
          <w:szCs w:val="20"/>
        </w:rPr>
        <w:tab/>
        <w:t>It is not a defense pursuant to this section that a decedent contributed to his own death by his purposeful, knowing, reckless, or negligent injection, inhalation, absorption, or ingestion of the controlled substance or by his consenting to the administration of the controlled substance by another person.”</w:t>
      </w:r>
    </w:p>
    <w:p w14:paraId="7F910EE9"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82BE8">
        <w:rPr>
          <w:rFonts w:eastAsia="Times New Roman"/>
          <w:snapToGrid w:val="0"/>
          <w:szCs w:val="20"/>
        </w:rPr>
        <w:t>SECTION</w:t>
      </w:r>
      <w:r w:rsidRPr="00082BE8">
        <w:rPr>
          <w:rFonts w:eastAsia="Times New Roman"/>
          <w:snapToGrid w:val="0"/>
          <w:szCs w:val="20"/>
        </w:rPr>
        <w:tab/>
        <w:t>2.</w:t>
      </w:r>
      <w:r w:rsidRPr="00082BE8">
        <w:rPr>
          <w:rFonts w:eastAsia="Times New Roman"/>
          <w:snapToGrid w:val="0"/>
          <w:szCs w:val="20"/>
        </w:rPr>
        <w:tab/>
        <w:t>Section 16-1-10(D) of the 1976 Code is amended by adding a new offense to read:</w:t>
      </w:r>
    </w:p>
    <w:p w14:paraId="7AF5EC63"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“16-3-80 Fentanyl-induced homicide”</w:t>
      </w:r>
    </w:p>
    <w:p w14:paraId="477A99F6"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082BE8">
        <w:rPr>
          <w:rFonts w:eastAsia="Times New Roman"/>
          <w:snapToGrid w:val="0"/>
          <w:szCs w:val="20"/>
        </w:rPr>
        <w:t>SECTION</w:t>
      </w:r>
      <w:r w:rsidRPr="00082BE8">
        <w:rPr>
          <w:rFonts w:eastAsia="Times New Roman"/>
          <w:snapToGrid w:val="0"/>
          <w:szCs w:val="20"/>
        </w:rPr>
        <w:tab/>
        <w:t>3.</w:t>
      </w:r>
      <w:r w:rsidRPr="00082BE8">
        <w:rPr>
          <w:rFonts w:eastAsia="Times New Roman"/>
          <w:snapToGrid w:val="0"/>
          <w:szCs w:val="20"/>
        </w:rPr>
        <w:tab/>
        <w:t>Section 44</w:t>
      </w:r>
      <w:r w:rsidRPr="00082BE8">
        <w:rPr>
          <w:rFonts w:eastAsia="Times New Roman"/>
          <w:snapToGrid w:val="0"/>
          <w:szCs w:val="20"/>
        </w:rPr>
        <w:noBreakHyphen/>
        <w:t>53</w:t>
      </w:r>
      <w:r w:rsidRPr="00082BE8">
        <w:rPr>
          <w:rFonts w:eastAsia="Times New Roman"/>
          <w:snapToGrid w:val="0"/>
          <w:szCs w:val="20"/>
        </w:rPr>
        <w:noBreakHyphen/>
        <w:t>190(B) of the 1976 Code is amended by adding an appropriately numbered new item at the end to read:</w:t>
      </w:r>
    </w:p>
    <w:p w14:paraId="45713FEB"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“__.</w:t>
      </w:r>
      <w:r w:rsidRPr="00082BE8">
        <w:rPr>
          <w:rFonts w:eastAsia="Times New Roman"/>
          <w:snapToGrid w:val="0"/>
          <w:szCs w:val="20"/>
        </w:rPr>
        <w:tab/>
        <w:t>Fentanyl</w:t>
      </w:r>
      <w:r w:rsidRPr="00082BE8">
        <w:rPr>
          <w:rFonts w:eastAsia="Times New Roman"/>
          <w:snapToGrid w:val="0"/>
          <w:szCs w:val="20"/>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24ADF423"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r>
      <w:r w:rsidRPr="00082BE8">
        <w:rPr>
          <w:rFonts w:eastAsia="Times New Roman"/>
          <w:snapToGrid w:val="0"/>
          <w:szCs w:val="20"/>
        </w:rPr>
        <w:tab/>
        <w:t>a.</w:t>
      </w:r>
      <w:r w:rsidRPr="00082BE8">
        <w:rPr>
          <w:rFonts w:eastAsia="Times New Roman"/>
          <w:snapToGrid w:val="0"/>
          <w:szCs w:val="20"/>
        </w:rPr>
        <w:tab/>
      </w:r>
      <w:r w:rsidRPr="00082BE8">
        <w:rPr>
          <w:rFonts w:eastAsia="Times New Roman"/>
          <w:snapToGrid w:val="0"/>
          <w:szCs w:val="20"/>
        </w:rPr>
        <w:tab/>
        <w:t>replacement of the phenyl portion of the phenethyl group by any monocycle, whether or not further substituted in or on the monocycle;</w:t>
      </w:r>
    </w:p>
    <w:p w14:paraId="407BAD6B"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r>
      <w:r w:rsidRPr="00082BE8">
        <w:rPr>
          <w:rFonts w:eastAsia="Times New Roman"/>
          <w:snapToGrid w:val="0"/>
          <w:szCs w:val="20"/>
        </w:rPr>
        <w:tab/>
        <w:t>b.</w:t>
      </w:r>
      <w:r w:rsidRPr="00082BE8">
        <w:rPr>
          <w:rFonts w:eastAsia="Times New Roman"/>
          <w:snapToGrid w:val="0"/>
          <w:szCs w:val="20"/>
        </w:rPr>
        <w:tab/>
      </w:r>
      <w:r w:rsidRPr="00082BE8">
        <w:rPr>
          <w:rFonts w:eastAsia="Times New Roman"/>
          <w:snapToGrid w:val="0"/>
          <w:szCs w:val="20"/>
        </w:rPr>
        <w:tab/>
        <w:t>substitution in or on the phenethyl group with alkyl, alkenyl, alkoxyl, hydroxyl, halo, haloalkyl, amino or nitro groups;</w:t>
      </w:r>
    </w:p>
    <w:p w14:paraId="63B8BF61"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r>
      <w:r w:rsidRPr="00082BE8">
        <w:rPr>
          <w:rFonts w:eastAsia="Times New Roman"/>
          <w:snapToGrid w:val="0"/>
          <w:szCs w:val="20"/>
        </w:rPr>
        <w:tab/>
        <w:t>c.</w:t>
      </w:r>
      <w:r w:rsidRPr="00082BE8">
        <w:rPr>
          <w:rFonts w:eastAsia="Times New Roman"/>
          <w:snapToGrid w:val="0"/>
          <w:szCs w:val="20"/>
        </w:rPr>
        <w:tab/>
      </w:r>
      <w:r w:rsidRPr="00082BE8">
        <w:rPr>
          <w:rFonts w:eastAsia="Times New Roman"/>
          <w:snapToGrid w:val="0"/>
          <w:szCs w:val="20"/>
        </w:rPr>
        <w:tab/>
        <w:t>substitution in or on the piperidine ring with alkyl, alkenyl, alkoxyl, ester, ether, hydroxyl, halo, haloalkyl, amino or nitro groups;</w:t>
      </w:r>
    </w:p>
    <w:p w14:paraId="4192E074"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r>
      <w:r w:rsidRPr="00082BE8">
        <w:rPr>
          <w:rFonts w:eastAsia="Times New Roman"/>
          <w:snapToGrid w:val="0"/>
          <w:szCs w:val="20"/>
        </w:rPr>
        <w:tab/>
        <w:t>d.</w:t>
      </w:r>
      <w:r w:rsidRPr="00082BE8">
        <w:rPr>
          <w:rFonts w:eastAsia="Times New Roman"/>
          <w:snapToGrid w:val="0"/>
          <w:szCs w:val="20"/>
        </w:rPr>
        <w:tab/>
      </w:r>
      <w:r w:rsidRPr="00082BE8">
        <w:rPr>
          <w:rFonts w:eastAsia="Times New Roman"/>
          <w:snapToGrid w:val="0"/>
          <w:szCs w:val="20"/>
        </w:rPr>
        <w:tab/>
        <w:t>replacement of the aniline ring with any aromatic monocycle whether or not further substituted in or on the aromatic monocycle; and/or</w:t>
      </w:r>
    </w:p>
    <w:p w14:paraId="3AB9916A"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r>
      <w:r w:rsidRPr="00082BE8">
        <w:rPr>
          <w:rFonts w:eastAsia="Times New Roman"/>
          <w:snapToGrid w:val="0"/>
          <w:szCs w:val="20"/>
        </w:rPr>
        <w:tab/>
        <w:t>e.</w:t>
      </w:r>
      <w:r w:rsidRPr="00082BE8">
        <w:rPr>
          <w:rFonts w:eastAsia="Times New Roman"/>
          <w:snapToGrid w:val="0"/>
          <w:szCs w:val="20"/>
        </w:rPr>
        <w:tab/>
      </w:r>
      <w:r w:rsidRPr="00082BE8">
        <w:rPr>
          <w:rFonts w:eastAsia="Times New Roman"/>
          <w:snapToGrid w:val="0"/>
          <w:szCs w:val="20"/>
        </w:rPr>
        <w:tab/>
        <w:t>replacement of the N</w:t>
      </w:r>
      <w:r w:rsidRPr="00082BE8">
        <w:rPr>
          <w:rFonts w:eastAsia="Times New Roman"/>
          <w:snapToGrid w:val="0"/>
          <w:szCs w:val="20"/>
        </w:rPr>
        <w:noBreakHyphen/>
        <w:t>propionyl group by another acyl group.</w:t>
      </w:r>
    </w:p>
    <w:p w14:paraId="7C0C7016"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This definition includes, but is not limited to, the following substances:</w:t>
      </w:r>
      <w:r w:rsidRPr="00082BE8">
        <w:rPr>
          <w:rFonts w:eastAsia="Times New Roman"/>
          <w:snapToGrid w:val="0"/>
          <w:szCs w:val="20"/>
        </w:rPr>
        <w:tab/>
        <w:t>Methylacetyl fentanyl, Alpha</w:t>
      </w:r>
      <w:r w:rsidRPr="00082BE8">
        <w:rPr>
          <w:rFonts w:eastAsia="Times New Roman"/>
          <w:snapToGrid w:val="0"/>
          <w:szCs w:val="20"/>
        </w:rPr>
        <w:noBreakHyphen/>
        <w:t>methylfentanyl, Methylthiofentanyl, Benzylfentanyl, Beta</w:t>
      </w:r>
      <w:r w:rsidRPr="00082BE8">
        <w:rPr>
          <w:rFonts w:eastAsia="Times New Roman"/>
          <w:snapToGrid w:val="0"/>
          <w:szCs w:val="20"/>
        </w:rPr>
        <w:noBreakHyphen/>
        <w:t>hydroxyfentanyl, Beta</w:t>
      </w:r>
      <w:r w:rsidRPr="00082BE8">
        <w:rPr>
          <w:rFonts w:eastAsia="Times New Roman"/>
          <w:snapToGrid w:val="0"/>
          <w:szCs w:val="20"/>
        </w:rPr>
        <w:noBreakHyphen/>
        <w:t>hydroxy</w:t>
      </w:r>
      <w:r w:rsidRPr="00082BE8">
        <w:rPr>
          <w:rFonts w:eastAsia="Times New Roman"/>
          <w:snapToGrid w:val="0"/>
          <w:szCs w:val="20"/>
        </w:rPr>
        <w:noBreakHyphen/>
        <w:t>3</w:t>
      </w:r>
      <w:r w:rsidRPr="00082BE8">
        <w:rPr>
          <w:rFonts w:eastAsia="Times New Roman"/>
          <w:snapToGrid w:val="0"/>
          <w:szCs w:val="20"/>
        </w:rPr>
        <w:noBreakHyphen/>
        <w:t>methylfentanyl, 3</w:t>
      </w:r>
      <w:r w:rsidRPr="00082BE8">
        <w:rPr>
          <w:rFonts w:eastAsia="Times New Roman"/>
          <w:snapToGrid w:val="0"/>
          <w:szCs w:val="20"/>
        </w:rPr>
        <w:noBreakHyphen/>
        <w:t>Methylfentanyl, Methylthiofentanyl, Fluorofentanyl, Thenylfentanyl or Thienyl fentanyl, Thiofentanyl, Acetylfentanyl, Butyrylfentanyl, Beta</w:t>
      </w:r>
      <w:r w:rsidRPr="00082BE8">
        <w:rPr>
          <w:rFonts w:eastAsia="Times New Roman"/>
          <w:snapToGrid w:val="0"/>
          <w:szCs w:val="20"/>
        </w:rPr>
        <w:noBreakHyphen/>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0435015E"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82BE8">
        <w:rPr>
          <w:rFonts w:eastAsia="Times New Roman"/>
          <w:snapToGrid w:val="0"/>
          <w:szCs w:val="20"/>
        </w:rPr>
        <w:t>SECTION</w:t>
      </w:r>
      <w:r w:rsidRPr="00082BE8">
        <w:rPr>
          <w:rFonts w:eastAsia="Times New Roman"/>
          <w:snapToGrid w:val="0"/>
          <w:szCs w:val="20"/>
        </w:rPr>
        <w:tab/>
        <w:t>4.</w:t>
      </w:r>
      <w:r w:rsidRPr="00082BE8">
        <w:rPr>
          <w:rFonts w:eastAsia="Times New Roman"/>
          <w:snapToGrid w:val="0"/>
          <w:szCs w:val="20"/>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082BE8">
        <w:rPr>
          <w:rFonts w:eastAsia="Times New Roman"/>
          <w:snapToGrid w:val="0"/>
          <w:szCs w:val="20"/>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8232EB"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82BE8">
        <w:rPr>
          <w:rFonts w:eastAsia="Times New Roman"/>
          <w:snapToGrid w:val="0"/>
          <w:szCs w:val="20"/>
        </w:rPr>
        <w:t>SECTION</w:t>
      </w:r>
      <w:r w:rsidRPr="00082BE8">
        <w:rPr>
          <w:rFonts w:eastAsia="Times New Roman"/>
          <w:snapToGrid w:val="0"/>
          <w:szCs w:val="20"/>
        </w:rPr>
        <w:tab/>
        <w:t>5.</w:t>
      </w:r>
      <w:r w:rsidRPr="00082BE8">
        <w:rPr>
          <w:rFonts w:eastAsia="Times New Roman"/>
          <w:snapToGrid w:val="0"/>
          <w:szCs w:val="20"/>
        </w:rPr>
        <w:tab/>
        <w:t>This act takes effect upon approval by the Governor.</w:t>
      </w:r>
      <w:r w:rsidRPr="00082BE8">
        <w:rPr>
          <w:rFonts w:eastAsia="Times New Roman"/>
          <w:snapToGrid w:val="0"/>
          <w:szCs w:val="20"/>
        </w:rPr>
        <w:tab/>
      </w:r>
      <w:r w:rsidRPr="00082BE8">
        <w:rPr>
          <w:rFonts w:eastAsia="Times New Roman"/>
          <w:snapToGrid w:val="0"/>
          <w:szCs w:val="20"/>
        </w:rPr>
        <w:tab/>
        <w:t>/</w:t>
      </w:r>
    </w:p>
    <w:p w14:paraId="1DE80497"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Renumber sections to conform.</w:t>
      </w:r>
    </w:p>
    <w:p w14:paraId="6904D691" w14:textId="77777777" w:rsid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2BE8">
        <w:rPr>
          <w:rFonts w:eastAsia="Times New Roman"/>
          <w:snapToGrid w:val="0"/>
          <w:szCs w:val="20"/>
        </w:rPr>
        <w:tab/>
        <w:t>Amend title to conform.</w:t>
      </w:r>
    </w:p>
    <w:p w14:paraId="79A8697A" w14:textId="77777777" w:rsidR="00B80951" w:rsidRPr="00082BE8"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E67C31A" w14:textId="55135281"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41DABE67" w14:textId="6231BB14" w:rsidR="00B80951" w:rsidRP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3131452" w14:textId="6B0B85FB"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1FEBEA" w14:textId="4E8F5E22" w:rsidR="00B80951" w:rsidRP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456A02A"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337AB">
        <w:rPr>
          <w:b/>
          <w:bCs/>
        </w:rPr>
        <w:t>Explanation of Fiscal Impact</w:t>
      </w:r>
    </w:p>
    <w:p w14:paraId="217EE619"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337AB">
        <w:rPr>
          <w:b/>
        </w:rPr>
        <w:t>State Expenditure</w:t>
      </w:r>
    </w:p>
    <w:p w14:paraId="1C4E073B"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37AB">
        <w:t xml:space="preserve">This bill provides that a person who unlawfully delivers a controlled substance to a recipient who dies after injection, inhalation, absorption, or ingestion of any amount of the substance is guilty of the felony act of drug-induced homicide.  A conviction for this offense is punishable by imprisonment for not more than thirty years nor less than two years and a fine between $10,000 and $50,000.  </w:t>
      </w:r>
      <w:r w:rsidRPr="006337AB">
        <w:rPr>
          <w:bCs/>
        </w:rPr>
        <w:t xml:space="preserve">Court fines and fees are distributed to various law </w:t>
      </w:r>
      <w:r>
        <w:rPr>
          <w:bCs/>
        </w:rPr>
        <w:t>enforcement agencies using the general fund and other f</w:t>
      </w:r>
      <w:r w:rsidRPr="006337AB">
        <w:rPr>
          <w:bCs/>
        </w:rPr>
        <w:t xml:space="preserve">unds by the State Treasurer.  </w:t>
      </w:r>
    </w:p>
    <w:p w14:paraId="7878141C"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7AB">
        <w:rPr>
          <w:b/>
        </w:rPr>
        <w:t>Judicial.</w:t>
      </w:r>
      <w:r w:rsidRPr="006337AB">
        <w:t xml:space="preserve">  This bill creates the offense of drug-induced homicide. This bill may alter the number of cases or the duration of cases heard in court. However, Judicial</w:t>
      </w:r>
      <w:r>
        <w:t xml:space="preserve"> intends to use existing g</w:t>
      </w:r>
      <w:r w:rsidRPr="006337AB">
        <w:t xml:space="preserve">eneral </w:t>
      </w:r>
      <w:r>
        <w:t>f</w:t>
      </w:r>
      <w:r w:rsidRPr="006337AB">
        <w:t>und resources to manage any modification in caseloads.  Therefore, this bill will have no expenditure impact for Judicial.</w:t>
      </w:r>
    </w:p>
    <w:p w14:paraId="31A8606C"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7AB">
        <w:rPr>
          <w:b/>
        </w:rPr>
        <w:t xml:space="preserve">Commission on Prosecution Coordination.  </w:t>
      </w:r>
      <w:r w:rsidRPr="006337AB">
        <w:t>As this bill does not require PCC to perform activities that fall outside of the scope of normal agency business, it will have no expenditure impact.</w:t>
      </w:r>
    </w:p>
    <w:p w14:paraId="2387D897"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95380740"/>
      <w:r w:rsidRPr="006337AB">
        <w:rPr>
          <w:b/>
        </w:rPr>
        <w:t>Commission on Indigent Defense</w:t>
      </w:r>
      <w:bookmarkEnd w:id="0"/>
      <w:r w:rsidRPr="006337AB">
        <w:rPr>
          <w:b/>
        </w:rPr>
        <w:t xml:space="preserve">.  </w:t>
      </w:r>
      <w:r w:rsidRPr="006337AB">
        <w:t>As this bill does not require Indigent Defense to perform activities that fall outside of the scope of normal agency business, it will have no expenditure impact.</w:t>
      </w:r>
    </w:p>
    <w:p w14:paraId="2D8CEC07"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7AB">
        <w:rPr>
          <w:b/>
        </w:rPr>
        <w:t xml:space="preserve">Department of Juvenile Justice.  </w:t>
      </w:r>
      <w:r w:rsidRPr="006337AB">
        <w:t>As this bill does not require DJJ to perform activities that fall outside of the scope of normal agency business, it will have no expenditure impact.</w:t>
      </w:r>
    </w:p>
    <w:p w14:paraId="124793D9"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337AB">
        <w:rPr>
          <w:b/>
        </w:rPr>
        <w:lastRenderedPageBreak/>
        <w:t xml:space="preserve">Department of Corrections.  </w:t>
      </w:r>
      <w:r w:rsidRPr="006337AB">
        <w:t>A determination of the bill’s fiscal impact is pending, as the agency is still reviewing the bill.</w:t>
      </w:r>
    </w:p>
    <w:p w14:paraId="5EFFB45C"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337AB">
        <w:rPr>
          <w:b/>
          <w:bCs/>
        </w:rPr>
        <w:t>State Revenue</w:t>
      </w:r>
    </w:p>
    <w:p w14:paraId="12B72709"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37AB">
        <w:t>This bill may result in a change in the fines and fees collected in court.  Court fines a</w:t>
      </w:r>
      <w:r>
        <w:t>nd fees are distributed to the general fund, other f</w:t>
      </w:r>
      <w:r w:rsidRPr="006337AB">
        <w:t xml:space="preserve">unds and local funds.  Therefore, RFA anticipates this bill may result in an undetermined impact to </w:t>
      </w:r>
      <w:r>
        <w:t>general fund revenue, other f</w:t>
      </w:r>
      <w:r w:rsidRPr="006337AB">
        <w:t>unds revenue, and local revenue due to the modifications in fines and fees collections in court.</w:t>
      </w:r>
    </w:p>
    <w:p w14:paraId="1761302E" w14:textId="77777777" w:rsidR="00B80951" w:rsidRPr="006337AB"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337AB">
        <w:rPr>
          <w:b/>
          <w:bCs/>
        </w:rPr>
        <w:t>Local Revenue</w:t>
      </w:r>
    </w:p>
    <w:p w14:paraId="06821920" w14:textId="77777777" w:rsidR="00B80951" w:rsidRPr="00B77D85"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37AB">
        <w:t>This bill may result in a change in the fines and fees collected in court.  Court fines a</w:t>
      </w:r>
      <w:r>
        <w:t>nd fees are distributed to the g</w:t>
      </w:r>
      <w:r w:rsidRPr="006337AB">
        <w:t xml:space="preserve">eneral </w:t>
      </w:r>
      <w:r>
        <w:t>f</w:t>
      </w:r>
      <w:r w:rsidRPr="006337AB">
        <w:t xml:space="preserve">und, </w:t>
      </w:r>
      <w:r>
        <w:t>other f</w:t>
      </w:r>
      <w:r w:rsidRPr="006337AB">
        <w:t xml:space="preserve">unds, and local funds.  Therefore, RFA anticipates this bill may result in an undetermined impact to </w:t>
      </w:r>
      <w:r>
        <w:t>g</w:t>
      </w:r>
      <w:r w:rsidRPr="006337AB">
        <w:t xml:space="preserve">eneral </w:t>
      </w:r>
      <w:r>
        <w:t>fund revenue, other f</w:t>
      </w:r>
      <w:r w:rsidRPr="006337AB">
        <w:t>unds revenue, and local revenue due to the modifications in fines and fees collections in court.</w:t>
      </w:r>
    </w:p>
    <w:p w14:paraId="20D251C4" w14:textId="693CF7E8" w:rsidR="00B80951" w:rsidRDefault="00B80951" w:rsidP="00B2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F6E2C" w14:textId="197E0D1B"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3C9778A" w14:textId="07B7B144" w:rsidR="00B80951" w:rsidRP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65CDB617" w14:textId="7FAC500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71209" w14:textId="7777777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B0DD86" w14:textId="7777777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0951" w:rsidSect="00B8095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221F067" w14:textId="07671F4C" w:rsidR="006633A3" w:rsidRPr="00522CE0" w:rsidRDefault="00663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041B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896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9F7D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385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5383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B3D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039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30762" w14:textId="77777777" w:rsidR="00522CE0" w:rsidRPr="008F023B" w:rsidRDefault="00522CE0" w:rsidP="0066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FA0785">
        <w:rPr>
          <w:rFonts w:eastAsia="Times New Roman"/>
          <w:b/>
          <w:sz w:val="30"/>
          <w:szCs w:val="30"/>
        </w:rPr>
        <w:t>BILL</w:t>
      </w:r>
    </w:p>
    <w:p w14:paraId="56CF15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E02A7" w14:textId="6B7833D3" w:rsidR="00522CE0" w:rsidRPr="00522CE0" w:rsidRDefault="00633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t xml:space="preserve">TO AMEND </w:t>
      </w:r>
      <w:r w:rsidR="0064317F">
        <w:t>ARTICLE 1, CHAPTER 3, TITLE 16 OF THE 1976 CODE, RELATING TO HOMICIDE</w:t>
      </w:r>
      <w:r>
        <w:t>, BY ADDING SECTION 16</w:t>
      </w:r>
      <w:r w:rsidR="006F10D9">
        <w:noBreakHyphen/>
      </w:r>
      <w:r>
        <w:t>3</w:t>
      </w:r>
      <w:r w:rsidR="006F10D9">
        <w:noBreakHyphen/>
      </w:r>
      <w:r>
        <w:t>80</w:t>
      </w:r>
      <w:r w:rsidR="0064317F">
        <w:t>,</w:t>
      </w:r>
      <w:r>
        <w:t xml:space="preserve"> </w:t>
      </w:r>
      <w:r w:rsidR="00494C44">
        <w:rPr>
          <w:rFonts w:eastAsia="Times New Roman"/>
        </w:rPr>
        <w:t>TO CREATE THE OFFENSE OF DRUG-INDUCED HOMICIDE, TO PROVIDE A PENALTY FOR A VIOLATION, AND TO PROHIBIT AN AFFIRMATIVE DEFENSE</w:t>
      </w:r>
      <w:r w:rsidR="002A7C37">
        <w:rPr>
          <w:rFonts w:eastAsia="Times New Roman"/>
        </w:rPr>
        <w:t>; AND TO AMEND SECTION 16-1-10(D) OF THE 1976 CODE, RELATING TO A LIST OF EXCEPTIONS FOR FELONIES AND MISDEMEANORS, TO ADD DRUG-INDUCED HOMICIDE</w:t>
      </w:r>
      <w:r>
        <w:t>.</w:t>
      </w:r>
      <w:bookmarkEnd w:id="2"/>
    </w:p>
    <w:p w14:paraId="3A38A4D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2A18ED0E"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94AEBDC"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70C1E" w14:textId="77777777" w:rsidR="00633DEC" w:rsidRDefault="00FA0785"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633DEC">
        <w:t>Article 1, Chapter 3, Title 16 of the 1976 Code is amended by adding:</w:t>
      </w:r>
    </w:p>
    <w:p w14:paraId="42A8D9C1" w14:textId="77777777" w:rsidR="00633DEC"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2B68871" w14:textId="20C4A21F"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16</w:t>
      </w:r>
      <w:r w:rsidR="006F10D9">
        <w:noBreakHyphen/>
      </w:r>
      <w:r>
        <w:t>3</w:t>
      </w:r>
      <w:r w:rsidR="006F10D9">
        <w:noBreakHyphen/>
      </w:r>
      <w:r>
        <w:t>80.</w:t>
      </w:r>
      <w:r>
        <w:tab/>
      </w:r>
      <w:r w:rsidRPr="000332CD">
        <w:rPr>
          <w:color w:val="000000" w:themeColor="text1"/>
          <w:u w:color="000000" w:themeColor="text1"/>
        </w:rPr>
        <w:t>(</w:t>
      </w:r>
      <w:r>
        <w:rPr>
          <w:color w:val="000000" w:themeColor="text1"/>
          <w:u w:color="000000" w:themeColor="text1"/>
        </w:rPr>
        <w:t>A</w:t>
      </w:r>
      <w:r w:rsidRPr="000332CD">
        <w:rPr>
          <w:color w:val="000000" w:themeColor="text1"/>
          <w:u w:color="000000" w:themeColor="text1"/>
        </w:rPr>
        <w:t>)</w:t>
      </w:r>
      <w:r w:rsidRPr="000332CD">
        <w:rPr>
          <w:color w:val="000000" w:themeColor="text1"/>
          <w:u w:color="000000" w:themeColor="text1"/>
        </w:rPr>
        <w:tab/>
        <w:t>A person who unlawfully delivers a controlled substance to another</w:t>
      </w:r>
      <w:r>
        <w:rPr>
          <w:color w:val="000000" w:themeColor="text1"/>
          <w:u w:color="000000" w:themeColor="text1"/>
        </w:rPr>
        <w:t xml:space="preserve"> person</w:t>
      </w:r>
      <w:r w:rsidRPr="000332CD">
        <w:rPr>
          <w:color w:val="000000" w:themeColor="text1"/>
          <w:u w:color="000000" w:themeColor="text1"/>
        </w:rPr>
        <w:t>, in violation of the provisions of Section 44</w:t>
      </w:r>
      <w:r w:rsidR="006F10D9">
        <w:rPr>
          <w:color w:val="000000" w:themeColor="text1"/>
          <w:u w:color="000000" w:themeColor="text1"/>
        </w:rPr>
        <w:noBreakHyphen/>
      </w:r>
      <w:r w:rsidRPr="000332CD">
        <w:rPr>
          <w:color w:val="000000" w:themeColor="text1"/>
          <w:u w:color="000000" w:themeColor="text1"/>
        </w:rPr>
        <w:t>53</w:t>
      </w:r>
      <w:r w:rsidR="006F10D9">
        <w:rPr>
          <w:color w:val="000000" w:themeColor="text1"/>
          <w:u w:color="000000" w:themeColor="text1"/>
        </w:rPr>
        <w:noBreakHyphen/>
      </w:r>
      <w:r w:rsidRPr="000332CD">
        <w:rPr>
          <w:color w:val="000000" w:themeColor="text1"/>
          <w:u w:color="000000" w:themeColor="text1"/>
        </w:rPr>
        <w:t>370</w:t>
      </w:r>
      <w:r>
        <w:rPr>
          <w:color w:val="000000" w:themeColor="text1"/>
          <w:u w:color="000000" w:themeColor="text1"/>
        </w:rPr>
        <w:t xml:space="preserve"> or 44</w:t>
      </w:r>
      <w:r w:rsidR="006F10D9">
        <w:rPr>
          <w:color w:val="000000" w:themeColor="text1"/>
          <w:u w:color="000000" w:themeColor="text1"/>
        </w:rPr>
        <w:noBreakHyphen/>
      </w:r>
      <w:r>
        <w:rPr>
          <w:color w:val="000000" w:themeColor="text1"/>
          <w:u w:color="000000" w:themeColor="text1"/>
        </w:rPr>
        <w:t>53</w:t>
      </w:r>
      <w:r w:rsidR="006F10D9">
        <w:rPr>
          <w:color w:val="000000" w:themeColor="text1"/>
          <w:u w:color="000000" w:themeColor="text1"/>
        </w:rPr>
        <w:noBreakHyphen/>
      </w:r>
      <w:r>
        <w:rPr>
          <w:color w:val="000000" w:themeColor="text1"/>
          <w:u w:color="000000" w:themeColor="text1"/>
        </w:rPr>
        <w:t>375</w:t>
      </w:r>
      <w:r w:rsidRPr="000332CD">
        <w:rPr>
          <w:color w:val="000000" w:themeColor="text1"/>
          <w:u w:color="000000" w:themeColor="text1"/>
        </w:rPr>
        <w:t xml:space="preserve">, </w:t>
      </w:r>
      <w:r w:rsidR="00991402">
        <w:rPr>
          <w:color w:val="000000" w:themeColor="text1"/>
          <w:u w:color="000000" w:themeColor="text1"/>
        </w:rPr>
        <w:t>if</w:t>
      </w:r>
      <w:r>
        <w:rPr>
          <w:color w:val="000000" w:themeColor="text1"/>
          <w:u w:color="000000" w:themeColor="text1"/>
        </w:rPr>
        <w:t xml:space="preserve"> the proximate cause of</w:t>
      </w:r>
      <w:r w:rsidRPr="000332CD">
        <w:rPr>
          <w:color w:val="000000" w:themeColor="text1"/>
          <w:u w:color="000000" w:themeColor="text1"/>
        </w:rPr>
        <w:t xml:space="preserve"> the death of </w:t>
      </w:r>
      <w:r w:rsidR="00991402">
        <w:rPr>
          <w:color w:val="000000" w:themeColor="text1"/>
          <w:u w:color="000000" w:themeColor="text1"/>
        </w:rPr>
        <w:t xml:space="preserve">the </w:t>
      </w:r>
      <w:r>
        <w:rPr>
          <w:color w:val="000000" w:themeColor="text1"/>
          <w:u w:color="000000" w:themeColor="text1"/>
        </w:rPr>
        <w:t>other person</w:t>
      </w:r>
      <w:r w:rsidR="00991402">
        <w:rPr>
          <w:color w:val="000000" w:themeColor="text1"/>
          <w:u w:color="000000" w:themeColor="text1"/>
        </w:rPr>
        <w:t xml:space="preserve"> is the</w:t>
      </w:r>
      <w:r w:rsidRPr="000332CD">
        <w:rPr>
          <w:color w:val="000000" w:themeColor="text1"/>
          <w:u w:color="000000" w:themeColor="text1"/>
        </w:rPr>
        <w:t xml:space="preserve"> injection, inhalation, absorption, or ingestion of any amount</w:t>
      </w:r>
      <w:r>
        <w:rPr>
          <w:color w:val="000000" w:themeColor="text1"/>
          <w:u w:color="000000" w:themeColor="text1"/>
        </w:rPr>
        <w:t xml:space="preserve"> of the controlled substance,</w:t>
      </w:r>
      <w:r w:rsidRPr="000332CD">
        <w:rPr>
          <w:color w:val="000000" w:themeColor="text1"/>
          <w:u w:color="000000" w:themeColor="text1"/>
        </w:rPr>
        <w:t xml:space="preserve"> commits the </w:t>
      </w:r>
      <w:r>
        <w:rPr>
          <w:color w:val="000000" w:themeColor="text1"/>
          <w:u w:color="000000" w:themeColor="text1"/>
        </w:rPr>
        <w:t>felony offense of</w:t>
      </w:r>
      <w:r w:rsidRPr="000332CD">
        <w:rPr>
          <w:color w:val="000000" w:themeColor="text1"/>
          <w:u w:color="000000" w:themeColor="text1"/>
        </w:rPr>
        <w:t xml:space="preserve"> drug</w:t>
      </w:r>
      <w:r w:rsidR="006F10D9">
        <w:rPr>
          <w:color w:val="000000" w:themeColor="text1"/>
          <w:u w:color="000000" w:themeColor="text1"/>
        </w:rPr>
        <w:noBreakHyphen/>
      </w:r>
      <w:r w:rsidRPr="000332CD">
        <w:rPr>
          <w:color w:val="000000" w:themeColor="text1"/>
          <w:u w:color="000000" w:themeColor="text1"/>
        </w:rPr>
        <w:t>induced homicide.</w:t>
      </w:r>
    </w:p>
    <w:p w14:paraId="0F9D5442" w14:textId="4A380F2A"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B</w:t>
      </w:r>
      <w:r w:rsidRPr="000332CD">
        <w:rPr>
          <w:color w:val="000000" w:themeColor="text1"/>
          <w:u w:color="000000" w:themeColor="text1"/>
        </w:rPr>
        <w:t>)</w:t>
      </w:r>
      <w:r w:rsidRPr="000332CD">
        <w:rPr>
          <w:color w:val="000000" w:themeColor="text1"/>
          <w:u w:color="000000" w:themeColor="text1"/>
        </w:rPr>
        <w:tab/>
        <w:t>A person convicted of a drug</w:t>
      </w:r>
      <w:r w:rsidR="006F10D9">
        <w:rPr>
          <w:color w:val="000000" w:themeColor="text1"/>
          <w:u w:color="000000" w:themeColor="text1"/>
        </w:rPr>
        <w:noBreakHyphen/>
      </w:r>
      <w:r w:rsidRPr="000332CD">
        <w:rPr>
          <w:color w:val="000000" w:themeColor="text1"/>
          <w:u w:color="000000" w:themeColor="text1"/>
        </w:rPr>
        <w:t>induced homicide</w:t>
      </w:r>
      <w:r>
        <w:rPr>
          <w:color w:val="000000" w:themeColor="text1"/>
          <w:u w:color="000000" w:themeColor="text1"/>
        </w:rPr>
        <w:t xml:space="preserve"> pursuant to the provisions of this section</w:t>
      </w:r>
      <w:r w:rsidRPr="000332CD">
        <w:rPr>
          <w:color w:val="000000" w:themeColor="text1"/>
          <w:u w:color="000000" w:themeColor="text1"/>
        </w:rPr>
        <w:t xml:space="preserve"> must be imprisoned not more than thirty years </w:t>
      </w:r>
      <w:r w:rsidR="00991402">
        <w:rPr>
          <w:color w:val="000000" w:themeColor="text1"/>
          <w:u w:color="000000" w:themeColor="text1"/>
        </w:rPr>
        <w:t>and not</w:t>
      </w:r>
      <w:r w:rsidR="00991402" w:rsidRPr="000332CD">
        <w:rPr>
          <w:color w:val="000000" w:themeColor="text1"/>
          <w:u w:color="000000" w:themeColor="text1"/>
        </w:rPr>
        <w:t xml:space="preserve"> </w:t>
      </w:r>
      <w:r w:rsidRPr="000332CD">
        <w:rPr>
          <w:color w:val="000000" w:themeColor="text1"/>
          <w:u w:color="000000" w:themeColor="text1"/>
        </w:rPr>
        <w:t>less than two years.</w:t>
      </w:r>
    </w:p>
    <w:p w14:paraId="21B62F76" w14:textId="431913F2"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C</w:t>
      </w:r>
      <w:r w:rsidRPr="000332CD">
        <w:rPr>
          <w:color w:val="000000" w:themeColor="text1"/>
          <w:u w:color="000000" w:themeColor="text1"/>
        </w:rPr>
        <w:t>)</w:t>
      </w:r>
      <w:r w:rsidRPr="000332CD">
        <w:rPr>
          <w:color w:val="000000" w:themeColor="text1"/>
          <w:u w:color="000000" w:themeColor="text1"/>
        </w:rPr>
        <w:tab/>
        <w:t>It</w:t>
      </w:r>
      <w:r>
        <w:rPr>
          <w:color w:val="000000" w:themeColor="text1"/>
          <w:u w:color="000000" w:themeColor="text1"/>
        </w:rPr>
        <w:t xml:space="preserve"> is not</w:t>
      </w:r>
      <w:r w:rsidRPr="000332CD">
        <w:rPr>
          <w:color w:val="000000" w:themeColor="text1"/>
          <w:u w:color="000000" w:themeColor="text1"/>
        </w:rPr>
        <w:t xml:space="preserve"> a defense </w:t>
      </w:r>
      <w:r>
        <w:rPr>
          <w:color w:val="000000" w:themeColor="text1"/>
          <w:u w:color="000000" w:themeColor="text1"/>
        </w:rPr>
        <w:t>pursuant to</w:t>
      </w:r>
      <w:r w:rsidRPr="000332CD">
        <w:rPr>
          <w:color w:val="000000" w:themeColor="text1"/>
          <w:u w:color="000000" w:themeColor="text1"/>
        </w:rPr>
        <w:t xml:space="preserve"> this section that </w:t>
      </w:r>
      <w:r w:rsidR="00991402">
        <w:rPr>
          <w:color w:val="000000" w:themeColor="text1"/>
          <w:u w:color="000000" w:themeColor="text1"/>
        </w:rPr>
        <w:t>a</w:t>
      </w:r>
      <w:r w:rsidR="00991402" w:rsidRPr="000332CD">
        <w:rPr>
          <w:color w:val="000000" w:themeColor="text1"/>
          <w:u w:color="000000" w:themeColor="text1"/>
        </w:rPr>
        <w:t xml:space="preserve"> </w:t>
      </w:r>
      <w:r w:rsidRPr="000332CD">
        <w:rPr>
          <w:color w:val="000000" w:themeColor="text1"/>
          <w:u w:color="000000" w:themeColor="text1"/>
        </w:rPr>
        <w:t>decedent contributed to his own death by his purposeful, knowing, reckless</w:t>
      </w:r>
      <w:r w:rsidR="00991402">
        <w:rPr>
          <w:color w:val="000000" w:themeColor="text1"/>
          <w:u w:color="000000" w:themeColor="text1"/>
        </w:rPr>
        <w:t>,</w:t>
      </w:r>
      <w:r w:rsidRPr="000332CD">
        <w:rPr>
          <w:color w:val="000000" w:themeColor="text1"/>
          <w:u w:color="000000" w:themeColor="text1"/>
        </w:rPr>
        <w:t xml:space="preserve"> or negligent injection, inhalation, absorption, or ingestion of the </w:t>
      </w:r>
      <w:r>
        <w:rPr>
          <w:color w:val="000000" w:themeColor="text1"/>
          <w:u w:color="000000" w:themeColor="text1"/>
        </w:rPr>
        <w:t xml:space="preserve">controlled </w:t>
      </w:r>
      <w:r w:rsidRPr="000332CD">
        <w:rPr>
          <w:color w:val="000000" w:themeColor="text1"/>
          <w:u w:color="000000" w:themeColor="text1"/>
        </w:rPr>
        <w:t>substance or by his consenting to the administration of the</w:t>
      </w:r>
      <w:r>
        <w:rPr>
          <w:color w:val="000000" w:themeColor="text1"/>
          <w:u w:color="000000" w:themeColor="text1"/>
        </w:rPr>
        <w:t xml:space="preserve"> controlled</w:t>
      </w:r>
      <w:r w:rsidRPr="000332CD">
        <w:rPr>
          <w:color w:val="000000" w:themeColor="text1"/>
          <w:u w:color="000000" w:themeColor="text1"/>
        </w:rPr>
        <w:t xml:space="preserve"> substance by another</w:t>
      </w:r>
      <w:r>
        <w:rPr>
          <w:color w:val="000000" w:themeColor="text1"/>
          <w:u w:color="000000" w:themeColor="text1"/>
        </w:rPr>
        <w:t xml:space="preserve"> person</w:t>
      </w:r>
      <w:r w:rsidRPr="000332CD">
        <w:rPr>
          <w:color w:val="000000" w:themeColor="text1"/>
          <w:u w:color="000000" w:themeColor="text1"/>
        </w:rPr>
        <w:t>.</w:t>
      </w:r>
      <w:r>
        <w:rPr>
          <w:color w:val="000000" w:themeColor="text1"/>
          <w:u w:color="000000" w:themeColor="text1"/>
        </w:rPr>
        <w:t>”</w:t>
      </w:r>
    </w:p>
    <w:p w14:paraId="65478048" w14:textId="77777777"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EA324" w14:textId="77777777" w:rsidR="00DD59BD" w:rsidRDefault="00DD59BD" w:rsidP="00DD5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16-1-10(D) of the 1976 Code is amended by adding a new offense to read:</w:t>
      </w:r>
    </w:p>
    <w:p w14:paraId="4D446C0A" w14:textId="77777777" w:rsidR="00DD59BD" w:rsidRPr="005E524E" w:rsidRDefault="00DD59BD" w:rsidP="00B215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w:t>
      </w:r>
      <w:r w:rsidRPr="00B10C8F">
        <w:rPr>
          <w:color w:val="000000" w:themeColor="text1"/>
        </w:rPr>
        <w:t xml:space="preserve">16-3-65 </w:t>
      </w:r>
      <w:r>
        <w:rPr>
          <w:color w:val="000000" w:themeColor="text1"/>
        </w:rPr>
        <w:t>D</w:t>
      </w:r>
      <w:r w:rsidRPr="00B10C8F">
        <w:rPr>
          <w:color w:val="000000" w:themeColor="text1"/>
        </w:rPr>
        <w:t>rug-induced homicide</w:t>
      </w:r>
      <w:r>
        <w:rPr>
          <w:color w:val="000000" w:themeColor="text1"/>
          <w:u w:color="000000" w:themeColor="text1"/>
        </w:rPr>
        <w:t>”</w:t>
      </w:r>
    </w:p>
    <w:p w14:paraId="76129F0B" w14:textId="77777777" w:rsidR="00DD59BD" w:rsidRDefault="00DD59BD" w:rsidP="00B215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3112FC3" w14:textId="29DED037" w:rsidR="00FA0785" w:rsidRDefault="00DD59BD" w:rsidP="00B215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rsidR="00633DEC">
        <w:t>.</w:t>
      </w:r>
      <w:r w:rsidR="00633DEC">
        <w:tab/>
        <w:t>The repeal or amendment by this act of any law, whether temporary or permanent</w:t>
      </w:r>
      <w:r w:rsidR="0064317F">
        <w:t>,</w:t>
      </w:r>
      <w:r w:rsidR="00633DEC">
        <w:t xml:space="preserve"> or civil or criminal, does not affect pending actions, rights, duties, or liabilities founded thereon, or alter, discharge, release</w:t>
      </w:r>
      <w:r w:rsidR="0064317F">
        <w:t>,</w:t>
      </w:r>
      <w:r w:rsidR="00633DEC">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5620B01"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4D03EC" w14:textId="3E7A2D19" w:rsidR="00FA0785" w:rsidRPr="00522CE0"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59BD">
        <w:rPr>
          <w:rFonts w:eastAsia="Times New Roman"/>
        </w:rPr>
        <w:t>4</w:t>
      </w:r>
      <w:r>
        <w:rPr>
          <w:rFonts w:eastAsia="Times New Roman"/>
        </w:rPr>
        <w:t>.</w:t>
      </w:r>
      <w:r>
        <w:rPr>
          <w:rFonts w:eastAsia="Times New Roman"/>
        </w:rPr>
        <w:tab/>
        <w:t>This act takes effect upon approval by the Governor.</w:t>
      </w:r>
    </w:p>
    <w:p w14:paraId="169D81B0" w14:textId="557695B5" w:rsidR="001C1588" w:rsidRDefault="006F10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E79AA7" w14:textId="77777777" w:rsidR="00483FCC" w:rsidRDefault="00483FCC" w:rsidP="00483FCC">
      <w:pPr>
        <w:suppressAutoHyphens/>
        <w:jc w:val="both"/>
        <w:rPr>
          <w:rFonts w:eastAsia="Times New Roman"/>
        </w:rPr>
      </w:pPr>
    </w:p>
    <w:sectPr w:rsidR="00483FCC" w:rsidSect="00B809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FC8E3" w14:textId="77777777" w:rsidR="0064317F" w:rsidRDefault="0064317F" w:rsidP="00522CE0">
      <w:r>
        <w:separator/>
      </w:r>
    </w:p>
  </w:endnote>
  <w:endnote w:type="continuationSeparator" w:id="0">
    <w:p w14:paraId="3B52353D" w14:textId="77777777" w:rsidR="0064317F" w:rsidRDefault="006431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6A87915-EE5D-4EEC-A9A2-C78E488BA51F}"/>
    <w:embedBold r:id="rId2" w:fontKey="{750DE40F-7056-4DB8-9836-3FBE08F15321}"/>
  </w:font>
  <w:font w:name="Calibri">
    <w:panose1 w:val="020F0502020204030204"/>
    <w:charset w:val="00"/>
    <w:family w:val="swiss"/>
    <w:pitch w:val="variable"/>
    <w:sig w:usb0="E0002AFF" w:usb1="4000ACFF" w:usb2="00000001" w:usb3="00000000" w:csb0="000001FF" w:csb1="00000000"/>
    <w:embedRegular r:id="rId3" w:fontKey="{8507A2FF-36E2-4785-A861-2C0916DB0755}"/>
    <w:embedBold r:id="rId4" w:fontKey="{A1836781-4075-4B45-93D0-911C7146E390}"/>
  </w:font>
  <w:font w:name="Segoe UI">
    <w:panose1 w:val="020B0502040204020203"/>
    <w:charset w:val="00"/>
    <w:family w:val="swiss"/>
    <w:pitch w:val="variable"/>
    <w:sig w:usb0="E4002EFF" w:usb1="C000E47F" w:usb2="00000009" w:usb3="00000000" w:csb0="000001FF" w:csb1="00000000"/>
    <w:embedRegular r:id="rId5" w:fontKey="{1E5F0A08-9DB1-4485-9E87-67CDDA6BFCA7}"/>
  </w:font>
  <w:font w:name="Cambria">
    <w:panose1 w:val="02040503050406030204"/>
    <w:charset w:val="00"/>
    <w:family w:val="roman"/>
    <w:pitch w:val="variable"/>
    <w:sig w:usb0="A00002EF" w:usb1="4000004B" w:usb2="00000000" w:usb3="00000000" w:csb0="0000019F" w:csb1="00000000"/>
    <w:embedRegular r:id="rId6" w:fontKey="{0859DEB2-07D0-4AA0-8738-09B5841B60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56287" w14:textId="7F4C9214" w:rsidR="001C1588" w:rsidRPr="006633A3" w:rsidRDefault="006633A3" w:rsidP="006633A3">
    <w:pPr>
      <w:pStyle w:val="Footer"/>
      <w:tabs>
        <w:tab w:val="clear" w:pos="4680"/>
        <w:tab w:val="clear" w:pos="9360"/>
        <w:tab w:val="center" w:pos="2995"/>
      </w:tabs>
      <w:spacing w:before="120"/>
    </w:pPr>
    <w:r>
      <w:t>[429</w:t>
    </w:r>
    <w:r w:rsidR="00B80951">
      <w:t>-</w:t>
    </w:r>
    <w:r w:rsidR="00B80951">
      <w:fldChar w:fldCharType="begin"/>
    </w:r>
    <w:r w:rsidR="00B80951">
      <w:instrText xml:space="preserve"> PAGE  \* MERGEFORMAT </w:instrText>
    </w:r>
    <w:r w:rsidR="00B80951">
      <w:fldChar w:fldCharType="separate"/>
    </w:r>
    <w:r w:rsidR="00483FCC">
      <w:rPr>
        <w:noProof/>
      </w:rPr>
      <w:t>4</w:t>
    </w:r>
    <w:r w:rsidR="00B80951">
      <w:fldChar w:fldCharType="end"/>
    </w:r>
    <w:r w:rsidR="00B809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FD7E" w14:textId="01D4AF50" w:rsidR="00B80951" w:rsidRPr="006633A3" w:rsidRDefault="00B80951" w:rsidP="006633A3">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sidR="00483F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9A66E" w14:textId="77777777" w:rsidR="0064317F" w:rsidRDefault="0064317F" w:rsidP="00522CE0">
      <w:r>
        <w:separator/>
      </w:r>
    </w:p>
  </w:footnote>
  <w:footnote w:type="continuationSeparator" w:id="0">
    <w:p w14:paraId="09D1FA0D" w14:textId="77777777" w:rsidR="0064317F" w:rsidRDefault="006431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RUG.KMM.TCA"/>
    <w:docVar w:name="CoverAttorneyInitials" w:val="KMM"/>
    <w:docVar w:name="CoverAttorneyLastName" w:val="Moffitt"/>
    <w:docVar w:name="CoverBillType" w:val="b"/>
    <w:docVar w:name="CoverSenator" w:val="TCA"/>
    <w:docVar w:name="dvBillNumber" w:val="429"/>
    <w:docVar w:name="dvBillNumberPrefix" w:val="S. "/>
    <w:docVar w:name="dvOriginalBody" w:val="Senate"/>
    <w:docVar w:name="fulldraftpath" w:val="L:\S-RES\TCA\005DRUG.KMM.TCA.DOCX"/>
    <w:docVar w:name="NameofBody" w:val="S"/>
    <w:docVar w:name="vgroup2" w:val="S-RES"/>
  </w:docVars>
  <w:rsids>
    <w:rsidRoot w:val="00FA0785"/>
    <w:rsid w:val="00042AC1"/>
    <w:rsid w:val="00046516"/>
    <w:rsid w:val="00066872"/>
    <w:rsid w:val="00072458"/>
    <w:rsid w:val="0007601D"/>
    <w:rsid w:val="00094E6C"/>
    <w:rsid w:val="000B0720"/>
    <w:rsid w:val="000B5EAF"/>
    <w:rsid w:val="001315B2"/>
    <w:rsid w:val="00170561"/>
    <w:rsid w:val="00174988"/>
    <w:rsid w:val="00186AC9"/>
    <w:rsid w:val="00197DF1"/>
    <w:rsid w:val="001B3DD9"/>
    <w:rsid w:val="001B7E5D"/>
    <w:rsid w:val="001C1588"/>
    <w:rsid w:val="001D3BAC"/>
    <w:rsid w:val="00216025"/>
    <w:rsid w:val="00245C4E"/>
    <w:rsid w:val="002A7C37"/>
    <w:rsid w:val="002C1321"/>
    <w:rsid w:val="002C2031"/>
    <w:rsid w:val="002C5896"/>
    <w:rsid w:val="002D3BED"/>
    <w:rsid w:val="002D4BCD"/>
    <w:rsid w:val="00307C2B"/>
    <w:rsid w:val="00315D04"/>
    <w:rsid w:val="00374047"/>
    <w:rsid w:val="00383247"/>
    <w:rsid w:val="003D6E2B"/>
    <w:rsid w:val="003E7597"/>
    <w:rsid w:val="00413EBF"/>
    <w:rsid w:val="0044020F"/>
    <w:rsid w:val="00450668"/>
    <w:rsid w:val="00454138"/>
    <w:rsid w:val="004813A2"/>
    <w:rsid w:val="00483FCC"/>
    <w:rsid w:val="00494C44"/>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3DEC"/>
    <w:rsid w:val="0064317F"/>
    <w:rsid w:val="006633A3"/>
    <w:rsid w:val="006A1802"/>
    <w:rsid w:val="006C0CBB"/>
    <w:rsid w:val="006C74EA"/>
    <w:rsid w:val="006F10D9"/>
    <w:rsid w:val="006F56CF"/>
    <w:rsid w:val="00720D40"/>
    <w:rsid w:val="007318D4"/>
    <w:rsid w:val="00765784"/>
    <w:rsid w:val="007A4390"/>
    <w:rsid w:val="007A6FE2"/>
    <w:rsid w:val="007E5CB7"/>
    <w:rsid w:val="008314D2"/>
    <w:rsid w:val="00870F6F"/>
    <w:rsid w:val="008B2F42"/>
    <w:rsid w:val="008C3697"/>
    <w:rsid w:val="008E185F"/>
    <w:rsid w:val="008F023B"/>
    <w:rsid w:val="00904E16"/>
    <w:rsid w:val="009162B3"/>
    <w:rsid w:val="00927C62"/>
    <w:rsid w:val="00983951"/>
    <w:rsid w:val="00984124"/>
    <w:rsid w:val="00984640"/>
    <w:rsid w:val="00991402"/>
    <w:rsid w:val="00995C37"/>
    <w:rsid w:val="009C118A"/>
    <w:rsid w:val="009F0454"/>
    <w:rsid w:val="00A02011"/>
    <w:rsid w:val="00A4011E"/>
    <w:rsid w:val="00A86015"/>
    <w:rsid w:val="00A9594E"/>
    <w:rsid w:val="00AE59C8"/>
    <w:rsid w:val="00B10098"/>
    <w:rsid w:val="00B21565"/>
    <w:rsid w:val="00B5790D"/>
    <w:rsid w:val="00B80951"/>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59B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078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9C16E2"/>
  <w15:docId w15:val="{4D62184E-DDA5-4F47-BA47-B028ECF2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17F"/>
    <w:rPr>
      <w:rFonts w:ascii="Segoe UI" w:hAnsi="Segoe UI" w:cs="Segoe UI"/>
      <w:sz w:val="18"/>
      <w:szCs w:val="18"/>
    </w:rPr>
  </w:style>
  <w:style w:type="character" w:styleId="CommentReference">
    <w:name w:val="annotation reference"/>
    <w:basedOn w:val="DefaultParagraphFont"/>
    <w:uiPriority w:val="99"/>
    <w:semiHidden/>
    <w:unhideWhenUsed/>
    <w:rsid w:val="00494C44"/>
    <w:rPr>
      <w:sz w:val="16"/>
      <w:szCs w:val="16"/>
    </w:rPr>
  </w:style>
  <w:style w:type="paragraph" w:styleId="CommentText">
    <w:name w:val="annotation text"/>
    <w:basedOn w:val="Normal"/>
    <w:link w:val="CommentTextChar"/>
    <w:uiPriority w:val="99"/>
    <w:semiHidden/>
    <w:unhideWhenUsed/>
    <w:rsid w:val="00494C44"/>
    <w:rPr>
      <w:sz w:val="20"/>
      <w:szCs w:val="20"/>
    </w:rPr>
  </w:style>
  <w:style w:type="character" w:customStyle="1" w:styleId="CommentTextChar">
    <w:name w:val="Comment Text Char"/>
    <w:basedOn w:val="DefaultParagraphFont"/>
    <w:link w:val="CommentText"/>
    <w:uiPriority w:val="99"/>
    <w:semiHidden/>
    <w:rsid w:val="00494C44"/>
    <w:rPr>
      <w:sz w:val="20"/>
      <w:szCs w:val="20"/>
    </w:rPr>
  </w:style>
  <w:style w:type="paragraph" w:styleId="CommentSubject">
    <w:name w:val="annotation subject"/>
    <w:basedOn w:val="CommentText"/>
    <w:next w:val="CommentText"/>
    <w:link w:val="CommentSubjectChar"/>
    <w:uiPriority w:val="99"/>
    <w:semiHidden/>
    <w:unhideWhenUsed/>
    <w:rsid w:val="00494C44"/>
    <w:rPr>
      <w:b/>
      <w:bCs/>
    </w:rPr>
  </w:style>
  <w:style w:type="character" w:customStyle="1" w:styleId="CommentSubjectChar">
    <w:name w:val="Comment Subject Char"/>
    <w:basedOn w:val="CommentTextChar"/>
    <w:link w:val="CommentSubject"/>
    <w:uiPriority w:val="99"/>
    <w:semiHidden/>
    <w:rsid w:val="00494C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1473</Words>
  <Characters>8169</Characters>
  <Application>Microsoft Office Word</Application>
  <DocSecurity>0</DocSecurity>
  <Lines>209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 Text of Previous Version (Feb. 23, 2022) - South Carolina Legislature Online</dc:title>
  <dc:subject/>
  <dc:creator>Rebecca Landau</dc:creator>
  <cp:keywords/>
  <dc:description/>
  <cp:lastModifiedBy>Miriam Cook</cp:lastModifiedBy>
  <cp:revision>2</cp:revision>
  <dcterms:created xsi:type="dcterms:W3CDTF">2022-02-24T01:11:00Z</dcterms:created>
  <dcterms:modified xsi:type="dcterms:W3CDTF">2022-02-24T01:11:00Z</dcterms:modified>
</cp:coreProperties>
</file>