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2128" w:rsidRDefault="00A521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2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72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04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C7864">
        <w:rPr>
          <w:color w:val="000000" w:themeColor="text1"/>
          <w:u w:color="000000" w:themeColor="text1"/>
        </w:rPr>
        <w:t>TO AMEND SECTION 12</w:t>
      </w:r>
      <w:r>
        <w:rPr>
          <w:color w:val="000000" w:themeColor="text1"/>
          <w:u w:color="000000" w:themeColor="text1"/>
        </w:rPr>
        <w:noBreakHyphen/>
      </w:r>
      <w:r w:rsidRPr="00BC7864">
        <w:rPr>
          <w:color w:val="000000" w:themeColor="text1"/>
          <w:u w:color="000000" w:themeColor="text1"/>
        </w:rPr>
        <w:t>6</w:t>
      </w:r>
      <w:r>
        <w:rPr>
          <w:color w:val="000000" w:themeColor="text1"/>
          <w:u w:color="000000" w:themeColor="text1"/>
        </w:rPr>
        <w:noBreakHyphen/>
      </w:r>
      <w:r w:rsidRPr="00BC7864">
        <w:rPr>
          <w:color w:val="000000" w:themeColor="text1"/>
          <w:u w:color="000000" w:themeColor="text1"/>
        </w:rPr>
        <w:t>3530,</w:t>
      </w:r>
      <w:r>
        <w:rPr>
          <w:color w:val="000000" w:themeColor="text1"/>
          <w:u w:color="000000" w:themeColor="text1"/>
        </w:rPr>
        <w:t xml:space="preserve"> AS AMENDED,</w:t>
      </w:r>
      <w:r w:rsidRPr="00BC7864">
        <w:rPr>
          <w:color w:val="000000" w:themeColor="text1"/>
          <w:u w:color="000000" w:themeColor="text1"/>
        </w:rPr>
        <w:t xml:space="preserve"> CODE OF LAWS OF SOUTH CAROLINA, 1976, RELATING TO COMMUNITY DEVELOPMENT TAX CREDITS, SO AS TO DELETE AN AGGREGATE CREDIT PRO</w:t>
      </w:r>
      <w:r>
        <w:rPr>
          <w:color w:val="000000" w:themeColor="text1"/>
          <w:u w:color="000000" w:themeColor="text1"/>
        </w:rPr>
        <w:t>VISION AND SET AN ANNUAL LIMIT.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72E2" w:rsidRDefault="00C97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72E2" w:rsidRDefault="00C97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49E" w:rsidRPr="00BC7864" w:rsidRDefault="00C3049E" w:rsidP="00C3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BC7864">
        <w:rPr>
          <w:color w:val="000000" w:themeColor="text1"/>
          <w:u w:color="000000" w:themeColor="text1"/>
        </w:rPr>
        <w:t>Section 12</w:t>
      </w:r>
      <w:r>
        <w:rPr>
          <w:color w:val="000000" w:themeColor="text1"/>
          <w:u w:color="000000" w:themeColor="text1"/>
        </w:rPr>
        <w:noBreakHyphen/>
      </w:r>
      <w:r w:rsidRPr="00BC7864">
        <w:rPr>
          <w:color w:val="000000" w:themeColor="text1"/>
          <w:u w:color="000000" w:themeColor="text1"/>
        </w:rPr>
        <w:t>6</w:t>
      </w:r>
      <w:r>
        <w:rPr>
          <w:color w:val="000000" w:themeColor="text1"/>
          <w:u w:color="000000" w:themeColor="text1"/>
        </w:rPr>
        <w:noBreakHyphen/>
      </w:r>
      <w:r w:rsidRPr="00BC7864">
        <w:rPr>
          <w:color w:val="000000" w:themeColor="text1"/>
          <w:u w:color="000000" w:themeColor="text1"/>
        </w:rPr>
        <w:t>3530(B) of the 1976 Code</w:t>
      </w:r>
      <w:r>
        <w:rPr>
          <w:color w:val="000000" w:themeColor="text1"/>
          <w:u w:color="000000" w:themeColor="text1"/>
        </w:rPr>
        <w:t>, as last amended by Act 77 of 2019,</w:t>
      </w:r>
      <w:r w:rsidRPr="00BC7864">
        <w:rPr>
          <w:color w:val="000000" w:themeColor="text1"/>
          <w:u w:color="000000" w:themeColor="text1"/>
        </w:rPr>
        <w:t xml:space="preserve"> is</w:t>
      </w:r>
      <w:r>
        <w:rPr>
          <w:color w:val="000000" w:themeColor="text1"/>
          <w:u w:color="000000" w:themeColor="text1"/>
        </w:rPr>
        <w:t xml:space="preserve"> further</w:t>
      </w:r>
      <w:r w:rsidRPr="00BC7864">
        <w:rPr>
          <w:color w:val="000000" w:themeColor="text1"/>
          <w:u w:color="000000" w:themeColor="text1"/>
        </w:rPr>
        <w:t xml:space="preserve"> amended to read:</w:t>
      </w:r>
    </w:p>
    <w:p w:rsidR="00C3049E" w:rsidRPr="00BC7864" w:rsidRDefault="00C3049E" w:rsidP="00C3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49E" w:rsidRPr="00BC7864" w:rsidRDefault="00C3049E" w:rsidP="00C3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7864">
        <w:rPr>
          <w:color w:val="000000" w:themeColor="text1"/>
          <w:u w:color="000000" w:themeColor="text1"/>
        </w:rPr>
        <w:tab/>
        <w:t>“(B)</w:t>
      </w:r>
      <w:r w:rsidRPr="00BC7864">
        <w:rPr>
          <w:strike/>
          <w:color w:val="000000" w:themeColor="text1"/>
          <w:u w:color="000000" w:themeColor="text1"/>
        </w:rPr>
        <w:t>(1)</w:t>
      </w:r>
      <w:r w:rsidRPr="00BC7864">
        <w:rPr>
          <w:color w:val="000000" w:themeColor="text1"/>
          <w:u w:color="000000" w:themeColor="text1"/>
        </w:rPr>
        <w:tab/>
        <w:t xml:space="preserve">The total amount of credits allowed pursuant to this section may not exceed in the aggregate </w:t>
      </w:r>
      <w:r w:rsidRPr="00BC7864">
        <w:rPr>
          <w:strike/>
          <w:color w:val="000000" w:themeColor="text1"/>
          <w:u w:color="000000" w:themeColor="text1"/>
        </w:rPr>
        <w:t>five million dollars for all taxpayers and all calendar years and one million dollars for all taxpayers in one calendar year.</w:t>
      </w:r>
    </w:p>
    <w:p w:rsidR="00C3049E" w:rsidRPr="00BC7864" w:rsidRDefault="00C3049E" w:rsidP="00C3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C7864">
        <w:rPr>
          <w:color w:val="000000" w:themeColor="text1"/>
          <w:u w:color="000000" w:themeColor="text1"/>
        </w:rPr>
        <w:tab/>
      </w:r>
      <w:r w:rsidRPr="00BC7864">
        <w:rPr>
          <w:color w:val="000000" w:themeColor="text1"/>
          <w:u w:color="000000" w:themeColor="text1"/>
        </w:rPr>
        <w:tab/>
      </w:r>
      <w:r w:rsidRPr="00BC7864">
        <w:rPr>
          <w:strike/>
          <w:color w:val="000000" w:themeColor="text1"/>
          <w:u w:color="000000" w:themeColor="text1"/>
        </w:rPr>
        <w:t>(2)</w:t>
      </w:r>
      <w:r w:rsidRPr="00BC7864">
        <w:rPr>
          <w:color w:val="000000" w:themeColor="text1"/>
          <w:u w:color="000000" w:themeColor="text1"/>
        </w:rPr>
        <w:tab/>
      </w:r>
      <w:r w:rsidRPr="00BC7864">
        <w:rPr>
          <w:strike/>
          <w:color w:val="000000" w:themeColor="text1"/>
          <w:u w:color="000000" w:themeColor="text1"/>
        </w:rPr>
        <w:t>Notwithstanding item (1), the aggregate limit for all taxpayers in all tax years set forth in item (1) is increased by one million dollars. This additional one million dollars may only be used for credits earned and certificates issued in tax years beginning after 2018</w:t>
      </w:r>
      <w:r w:rsidRPr="00BC7864">
        <w:rPr>
          <w:color w:val="000000" w:themeColor="text1"/>
          <w:u w:val="single" w:color="000000" w:themeColor="text1"/>
        </w:rPr>
        <w:t>:</w:t>
      </w:r>
    </w:p>
    <w:p w:rsidR="00C3049E" w:rsidRPr="00BC7864" w:rsidRDefault="00C3049E" w:rsidP="00C3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C7864">
        <w:rPr>
          <w:color w:val="000000" w:themeColor="text1"/>
          <w:u w:color="000000" w:themeColor="text1"/>
        </w:rPr>
        <w:tab/>
      </w:r>
      <w:r w:rsidRPr="00BC7864">
        <w:rPr>
          <w:color w:val="000000" w:themeColor="text1"/>
          <w:u w:color="000000" w:themeColor="text1"/>
        </w:rPr>
        <w:tab/>
      </w:r>
      <w:r w:rsidRPr="00BC7864">
        <w:rPr>
          <w:color w:val="000000" w:themeColor="text1"/>
          <w:u w:val="single" w:color="000000" w:themeColor="text1"/>
        </w:rPr>
        <w:t>(1)</w:t>
      </w:r>
      <w:r w:rsidRPr="00BC7864">
        <w:rPr>
          <w:color w:val="000000" w:themeColor="text1"/>
          <w:u w:color="000000" w:themeColor="text1"/>
        </w:rPr>
        <w:tab/>
      </w:r>
      <w:r w:rsidRPr="00BC7864">
        <w:rPr>
          <w:color w:val="000000" w:themeColor="text1"/>
          <w:u w:val="single" w:color="000000" w:themeColor="text1"/>
        </w:rPr>
        <w:t>two million dollars for all taxpayers in tax year 202</w:t>
      </w:r>
      <w:r>
        <w:rPr>
          <w:color w:val="000000" w:themeColor="text1"/>
          <w:u w:val="single" w:color="000000" w:themeColor="text1"/>
        </w:rPr>
        <w:t>1</w:t>
      </w:r>
      <w:r w:rsidRPr="00BC7864">
        <w:rPr>
          <w:color w:val="000000" w:themeColor="text1"/>
          <w:u w:val="single" w:color="000000" w:themeColor="text1"/>
        </w:rPr>
        <w:t>; and</w:t>
      </w:r>
    </w:p>
    <w:p w:rsidR="00C3049E" w:rsidRPr="00BC7864" w:rsidRDefault="00C3049E" w:rsidP="00C3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7864">
        <w:rPr>
          <w:color w:val="000000" w:themeColor="text1"/>
          <w:u w:color="000000" w:themeColor="text1"/>
        </w:rPr>
        <w:tab/>
      </w:r>
      <w:r w:rsidRPr="00BC7864">
        <w:rPr>
          <w:color w:val="000000" w:themeColor="text1"/>
          <w:u w:color="000000" w:themeColor="text1"/>
        </w:rPr>
        <w:tab/>
      </w:r>
      <w:r w:rsidRPr="00BC7864">
        <w:rPr>
          <w:color w:val="000000" w:themeColor="text1"/>
          <w:u w:val="single" w:color="000000" w:themeColor="text1"/>
        </w:rPr>
        <w:t>(2)</w:t>
      </w:r>
      <w:r w:rsidRPr="00BC7864">
        <w:rPr>
          <w:color w:val="000000" w:themeColor="text1"/>
          <w:u w:color="000000" w:themeColor="text1"/>
        </w:rPr>
        <w:tab/>
      </w:r>
      <w:r w:rsidRPr="00BC7864">
        <w:rPr>
          <w:color w:val="000000" w:themeColor="text1"/>
          <w:u w:val="single" w:color="000000" w:themeColor="text1"/>
        </w:rPr>
        <w:t>three million dollars for all taxpayers in tax years after 202</w:t>
      </w:r>
      <w:r>
        <w:rPr>
          <w:color w:val="000000" w:themeColor="text1"/>
          <w:u w:val="single" w:color="000000" w:themeColor="text1"/>
        </w:rPr>
        <w:t>1</w:t>
      </w:r>
      <w:r w:rsidRPr="00BC7864">
        <w:rPr>
          <w:color w:val="000000" w:themeColor="text1"/>
          <w:u w:color="000000" w:themeColor="text1"/>
        </w:rPr>
        <w:t>.”</w:t>
      </w:r>
    </w:p>
    <w:p w:rsidR="00C3049E" w:rsidRDefault="00C3049E" w:rsidP="00C3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E2" w:rsidRDefault="00C3049E" w:rsidP="00C3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75F4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52128" w:rsidRDefault="00A52128" w:rsidP="00A52128">
      <w:pPr>
        <w:suppressAutoHyphens/>
      </w:pPr>
    </w:p>
    <w:sectPr w:rsidR="00A52128" w:rsidSect="00A5212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72E2" w:rsidRDefault="00C972E2" w:rsidP="009F0C77">
      <w:r>
        <w:separator/>
      </w:r>
    </w:p>
  </w:endnote>
  <w:endnote w:type="continuationSeparator" w:id="0">
    <w:p w:rsidR="00C972E2" w:rsidRDefault="00C972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B214611-A5B5-4747-BB62-8E072B9ADBA3}"/>
    <w:embedBold r:id="rId2" w:fontKey="{CAD48C92-1BAE-4D03-B8A9-8F7596D09875}"/>
  </w:font>
  <w:font w:name="Calibri">
    <w:panose1 w:val="020F0502020204030204"/>
    <w:charset w:val="00"/>
    <w:family w:val="swiss"/>
    <w:pitch w:val="variable"/>
    <w:sig w:usb0="E0002EFF" w:usb1="C000247B" w:usb2="00000009" w:usb3="00000000" w:csb0="000001FF" w:csb1="00000000"/>
    <w:embedRegular r:id="rId3" w:fontKey="{A7208613-235B-4C1F-91E1-E89B2E17A9A4}"/>
  </w:font>
  <w:font w:name="Cambria">
    <w:panose1 w:val="02040503050406030204"/>
    <w:charset w:val="00"/>
    <w:family w:val="roman"/>
    <w:pitch w:val="variable"/>
    <w:sig w:usb0="E00006FF" w:usb1="420024FF" w:usb2="02000000" w:usb3="00000000" w:csb0="0000019F" w:csb1="00000000"/>
    <w:embedRegular r:id="rId4" w:fontKey="{4FD93C6F-5A38-47E0-A787-4B1BAB5B8C0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F40" w:rsidRPr="00A52128" w:rsidRDefault="00A52128" w:rsidP="00A52128">
    <w:pPr>
      <w:pStyle w:val="Footer"/>
      <w:tabs>
        <w:tab w:val="clear" w:pos="4680"/>
        <w:tab w:val="clear" w:pos="9360"/>
        <w:tab w:val="center" w:pos="2995"/>
      </w:tabs>
      <w:spacing w:before="120"/>
    </w:pPr>
    <w:r>
      <w:t>[436]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72E2" w:rsidRDefault="00C972E2" w:rsidP="009F0C77">
      <w:r>
        <w:separator/>
      </w:r>
    </w:p>
  </w:footnote>
  <w:footnote w:type="continuationSeparator" w:id="0">
    <w:p w:rsidR="00C972E2" w:rsidRDefault="00C972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33SA21"/>
    <w:docVar w:name="CoverBillType" w:val="b"/>
    <w:docVar w:name="DocPath" w:val="L:\Council\bills\NBD\11133SA21.DOCX"/>
    <w:docVar w:name="dvBillNumber" w:val="436"/>
    <w:docVar w:name="dvBillNumberPrefix" w:val="S. "/>
    <w:docVar w:name="dvOriginalBody" w:val="Senate"/>
    <w:docVar w:name="dvSteno" w:val="NBD"/>
    <w:docVar w:name="NameofBody" w:val="s"/>
    <w:docVar w:name="vGroup2" w:val="Council"/>
  </w:docVars>
  <w:rsids>
    <w:rsidRoot w:val="00C972E2"/>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55E72"/>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5F40"/>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79BD"/>
    <w:rsid w:val="009B397B"/>
    <w:rsid w:val="009F0C77"/>
    <w:rsid w:val="009F4DD1"/>
    <w:rsid w:val="00A52128"/>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049E"/>
    <w:rsid w:val="00C3136F"/>
    <w:rsid w:val="00C3483A"/>
    <w:rsid w:val="00C74E9D"/>
    <w:rsid w:val="00C82FD3"/>
    <w:rsid w:val="00C972E2"/>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7B5"/>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B72F34-045F-467E-872A-193DCE277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3AB01-D2A5-457E-970D-8EE50FFA5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189</Words>
  <Characters>909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436 Text of Previous Version (Jan. 12, 2021) - South Carolina Legislature Online</dc:title>
  <dc:subject/>
  <dc:creator>Niki Downey</dc:creator>
  <cp:keywords/>
  <dc:description/>
  <cp:lastModifiedBy>S Wilson</cp:lastModifiedBy>
  <cp:revision>2</cp:revision>
  <cp:lastPrinted>2021-01-07T17:55:00Z</cp:lastPrinted>
  <dcterms:created xsi:type="dcterms:W3CDTF">2021-01-12T19:53:00Z</dcterms:created>
  <dcterms:modified xsi:type="dcterms:W3CDTF">2021-01-12T19:53:00Z</dcterms:modified>
</cp:coreProperties>
</file>