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6C"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2022</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Pr="00E45304" w:rsidRDefault="00E45304" w:rsidP="00E45304">
      <w:pPr>
        <w:tabs>
          <w:tab w:val="right" w:pos="5933"/>
        </w:tabs>
        <w:suppressAutoHyphens/>
      </w:pPr>
      <w:r>
        <w:tab/>
      </w:r>
      <w:r>
        <w:rPr>
          <w:b/>
          <w:sz w:val="36"/>
        </w:rPr>
        <w:t>H. 4408</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Default="00E45304" w:rsidP="00B91266">
      <w:pPr>
        <w:tabs>
          <w:tab w:val="right" w:pos="5933"/>
        </w:tabs>
        <w:suppressAutoHyphens/>
      </w:pPr>
      <w:r>
        <w:t>S. Printed 2/16/22--H.</w:t>
      </w:r>
      <w:r w:rsidR="00B91266">
        <w:tab/>
        <w:t>[SEC 2/17/22 11:35 AM]</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rsidR="00E45304" w:rsidRP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2E6C"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10776B" w:rsidRDefault="00E45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5304" w:rsidRDefault="00E45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A31D9">
        <w:rPr>
          <w:u w:color="000000" w:themeColor="text1"/>
        </w:rPr>
        <w:t>Part I</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Authorization to Expend Federal Funds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w:t>
      </w:r>
      <w:r w:rsidRPr="009A31D9">
        <w:rPr>
          <w:u w:color="000000" w:themeColor="text1"/>
        </w:rPr>
        <w:tab/>
        <w:t>(A)</w:t>
      </w:r>
      <w:r w:rsidRPr="009A31D9">
        <w:rPr>
          <w:u w:color="000000" w:themeColor="text1"/>
        </w:rPr>
        <w:tab/>
        <w:t>The source of revenue authorized for expenditure in this SECTION is the State Fiscal Recovery Funds disbursed to the State pursuant to the federal “American Rescue Plan Act of 2021,” Public Law No. 117</w:t>
      </w:r>
      <w:r w:rsidRPr="009A31D9">
        <w:rPr>
          <w:u w:color="000000" w:themeColor="text1"/>
        </w:rPr>
        <w:noBreakHyphen/>
        <w:t>2, (hereinafter referred to as “ARPA”). The expenditure authorizations contained in this SECTION are for the maximum amounts that may be disbursed or expended by the receiving governmental entity. All disbursals and expenditures must be made in compliance with the provisions contained in this act. The receiving entities are: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Department of Transportation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$453,499,758</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r>
      <w:r w:rsidRPr="009A31D9">
        <w:rPr>
          <w:u w:color="000000" w:themeColor="text1"/>
        </w:rPr>
        <w:tab/>
        <w:t>Of the amount authorized for expenditure by the Department of Transportation $297,462,293 is reimbursement for general fund and Education Improvement Act revenue not collected and $156,037,465 is reimbursement for motor fuel user fee revenue not collected due to the COVID</w:t>
      </w:r>
      <w:r w:rsidRPr="009A31D9">
        <w:rPr>
          <w:u w:color="000000" w:themeColor="text1"/>
        </w:rPr>
        <w:noBreakHyphen/>
        <w:t>19 pandemic as calculated by the Executive Budget Office.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Rural Infrastructure Authority</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Office of Regulatory Staff</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Pr>
          <w:u w:color="000000" w:themeColor="text1"/>
        </w:rPr>
        <w:tab/>
      </w:r>
      <w:r w:rsidRPr="009A31D9">
        <w:rPr>
          <w:u w:color="000000" w:themeColor="text1"/>
        </w:rPr>
        <w:tab/>
      </w:r>
      <w:r w:rsidRPr="009A31D9">
        <w:rPr>
          <w:u w:color="000000" w:themeColor="text1"/>
        </w:rPr>
        <w:tab/>
        <w:t>$400,000,000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Office of Resilience</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$100,000,000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Department of Administration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t>(B)</w:t>
      </w:r>
      <w:r w:rsidRPr="009A31D9">
        <w:rPr>
          <w:u w:color="000000" w:themeColor="text1"/>
        </w:rPr>
        <w:tab/>
        <w:t>If any disbursement to any recipient, or subrecipient, resulting from an authorization contained in this SECTION is disallowed by federal law, regulation, or order, then the recipient or subrecipient promptly shall return the disbursed funds to the disbursing entity.</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 xml:space="preserve">Directives to State Agencies Concerning the Authorization to Expend Federal Funds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Transportation</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2.</w:t>
      </w:r>
      <w:r w:rsidRPr="009A31D9">
        <w:rPr>
          <w:u w:color="000000" w:themeColor="text1"/>
        </w:rPr>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subsection (A)(1) of SECTION 1 of this act. The funds in the Transportation Infrastructure Acceleration Account must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3.</w:t>
      </w:r>
      <w:r w:rsidRPr="009A31D9">
        <w:rPr>
          <w:u w:color="000000" w:themeColor="text1"/>
        </w:rPr>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Rural Infrastructure Authority</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4.</w:t>
      </w:r>
      <w:r w:rsidRPr="009A31D9">
        <w:rPr>
          <w:u w:color="000000" w:themeColor="text1"/>
        </w:rPr>
        <w:tab/>
        <w:t xml:space="preserve">There is established in the State Treasury an account to be known as the ARPA Water and Sewer Infrastructure Account. The account is separate from the general fund of the State and all other funds and accounts. The account shall consist of federal funds authorized pursuant to subsection (A)(2) of SECTION 1 of this act. The funds in the ARPA Water and Sewer Infrastructure Account must be used by the Rural Infrastructure Authority to administer and operate three grant programs designed to provide for improvements in water, wastewater, and stormwater infrastructure throughout the State. In each of the three grant programs, units of local government, special purpose districts, commissions of public works, and joint municipal organizations may apply for grants. A unit of local </w:t>
      </w:r>
      <w:r w:rsidRPr="009A31D9">
        <w:rPr>
          <w:u w:color="000000" w:themeColor="text1"/>
        </w:rPr>
        <w:lastRenderedPageBreak/>
        <w:t>government may apply for a grant on behalf of nonprofit water and sewer systems. Grants may be awarded for the completion of water, wastewater, and stormwater projects as defined in ARPA.</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5.</w:t>
      </w:r>
      <w:r w:rsidRPr="009A31D9">
        <w:rPr>
          <w:u w:color="000000" w:themeColor="text1"/>
        </w:rPr>
        <w:tab/>
        <w:t>(A)</w:t>
      </w:r>
      <w:r w:rsidRPr="009A31D9">
        <w:rPr>
          <w:u w:color="000000" w:themeColor="text1"/>
        </w:rPr>
        <w:tab/>
        <w:t>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$6,000,000 of the funds for its administrative costs and shall transfer up to $6,000,000 to the Department of Health and Environmental Control for related permitting activities. The Rural Infrastructure Authority shall transfer five hundred thousand dollars to each of the ten South Carolina Councils of Government for planning assistance, development of grant application proposals, and compliance assistance related to improvements in water, wastewater, and stormwater infrastructure for smaller systems.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Grants pursuant to this program must be issued equitably based upon established priorities and parameters. Applicants may request up to ten million dollars for each project or application. Awards must be made from the funds authorized for the competitive infrastructure grant program, less any amounts allocated for purposes designated in subsection (A).</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Local financial support is required for each grant award and must be committed in writing and available prior to project bidding. Design, engineering, and other nonconstruction costs are considered part of the local financial support. For large utilities, the local financial support must be equal to or greater than twenty-five percent of the project cost. For small and medium utilities, the local financial support must be equal to or greater than fifteen percent of the project cost.  For purposes of this subsection, large utilities are defined as those serving a population equal to or greater than thirty thousand people, and small and medium utilities are defined as those serving a population of less than thirty thousand people, or located in a Tier III or Tier IV county at the time of the grant pursuant to Section 12</w:t>
      </w:r>
      <w:r w:rsidRPr="009A31D9">
        <w:rPr>
          <w:u w:color="000000" w:themeColor="text1"/>
        </w:rPr>
        <w:noBreakHyphen/>
        <w:t>6</w:t>
      </w:r>
      <w:r w:rsidRPr="009A31D9">
        <w:rPr>
          <w:u w:color="000000" w:themeColor="text1"/>
        </w:rPr>
        <w:noBreakHyphen/>
        <w:t>3360 of the 1976 Code.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Priority consideration must be given to applications for projects based upon a comparative analysis in the following relative order of need: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 xml:space="preserve">regional solutions </w:t>
      </w:r>
      <w:r w:rsidRPr="009A31D9">
        <w:rPr>
          <w:u w:color="000000" w:themeColor="text1"/>
        </w:rPr>
        <w:noBreakHyphen/>
        <w:t xml:space="preserve"> projects that implement solutions that impact multiple systems;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r>
      <w:r w:rsidRPr="009A31D9">
        <w:rPr>
          <w:u w:color="000000" w:themeColor="text1"/>
        </w:rPr>
        <w:tab/>
        <w:t>(2)</w:t>
      </w:r>
      <w:r w:rsidRPr="009A31D9">
        <w:rPr>
          <w:u w:color="000000" w:themeColor="text1"/>
        </w:rPr>
        <w:tab/>
        <w:t xml:space="preserve">water quality </w:t>
      </w:r>
      <w:r w:rsidRPr="009A31D9">
        <w:rPr>
          <w:u w:color="000000" w:themeColor="text1"/>
        </w:rPr>
        <w:noBreakHyphen/>
        <w:t xml:space="preserve"> projects that address consent orders, violations, or other public health or environmental impacts;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resilience and storm protection </w:t>
      </w:r>
      <w:r w:rsidRPr="009A31D9">
        <w:rPr>
          <w:u w:color="000000" w:themeColor="text1"/>
        </w:rPr>
        <w:noBreakHyphen/>
        <w:t xml:space="preserve"> projects that help utilities prepare for emergencies;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 xml:space="preserve">other aging infrastructure </w:t>
      </w:r>
      <w:r w:rsidRPr="009A31D9">
        <w:rPr>
          <w:u w:color="000000" w:themeColor="text1"/>
        </w:rPr>
        <w:noBreakHyphen/>
        <w:t xml:space="preserve"> projects that upgrade or replace infrastructure that has exceeded its useful life;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 xml:space="preserve">capacity </w:t>
      </w:r>
      <w:r w:rsidRPr="009A31D9">
        <w:rPr>
          <w:u w:color="000000" w:themeColor="text1"/>
        </w:rPr>
        <w:noBreakHyphen/>
        <w:t xml:space="preserve"> projects that improve service for existing residents while preparing for future opportunities.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(E)</w:t>
      </w:r>
      <w:r w:rsidRPr="009A31D9">
        <w:rPr>
          <w:u w:color="000000" w:themeColor="text1"/>
        </w:rPr>
        <w:tab/>
        <w:t>To provide for equitable distribution of funds from the account, the following factors must be considered when awarding grants: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6.</w:t>
      </w:r>
      <w:r w:rsidRPr="009A31D9">
        <w:rPr>
          <w:u w:color="000000" w:themeColor="text1"/>
        </w:rPr>
        <w:tab/>
        <w:t>(A)</w:t>
      </w:r>
      <w:r w:rsidRPr="009A31D9">
        <w:rPr>
          <w:u w:color="000000" w:themeColor="text1"/>
        </w:rPr>
        <w:tab/>
        <w:t>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one million dollars per system.  For purposes of this section, a very small water system is defined as a water system serving a population equal to or less than three thousand three hundred</w:t>
      </w:r>
      <w:r w:rsidR="00B91266">
        <w:rPr>
          <w:u w:color="000000" w:themeColor="text1"/>
        </w:rPr>
        <w:t xml:space="preserve"> people</w:t>
      </w:r>
      <w:r w:rsidRPr="009A31D9">
        <w:rPr>
          <w:u w:color="000000" w:themeColor="text1"/>
        </w:rPr>
        <w: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 recipients may utilize grant funding pursuant to this program for approved purposes including, but not limited to, capital improvement planning, rate studies and other financial assessments, asset management, smoke testing, mapping, televising of lines and other necessary analyses, as well as preliminary planning and design for capital improvement projects. As a condition for receiving a grant pursuant to this program, recipients must demonstrate the intent to implement the recommendations arising from approved planning assistance.</w:t>
      </w:r>
    </w:p>
    <w:p w:rsidR="00E45304" w:rsidRPr="009A31D9" w:rsidRDefault="00E45304" w:rsidP="00962C32">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SECTION</w:t>
      </w:r>
      <w:r w:rsidRPr="009A31D9">
        <w:rPr>
          <w:u w:color="000000" w:themeColor="text1"/>
        </w:rPr>
        <w:tab/>
        <w:t>7.</w:t>
      </w:r>
      <w:r w:rsidRPr="009A31D9">
        <w:rPr>
          <w:u w:color="000000" w:themeColor="text1"/>
        </w:rPr>
        <w:tab/>
        <w:t>(A)</w:t>
      </w:r>
      <w:r w:rsidRPr="009A31D9">
        <w:rPr>
          <w:u w:color="000000" w:themeColor="text1"/>
        </w:rPr>
        <w:tab/>
        <w:t>The Rural Infrastructure Authority shall utilize $50,000,000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Local financial support equal to or greater than fifteen percent of the cost of the project is required for each grant award and must be committed in writing and available prior to project bidding. Design, engineering, and other nonconstruction costs are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Priority consideration will be given to applications for projects based upon a comparative analysis in the following relative order of need: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the project results in a consolidation or operating agreement with at least one small system with viability concerns;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project results in an expanded partnership agreement with at least one small system with viability concerns;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the project results in a consolidation or operating agreement with other systems.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To provide for equitable distribution of funds from the account, the following factors must be considered when awarding grants: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8.</w:t>
      </w:r>
      <w:r w:rsidRPr="009A31D9">
        <w:rPr>
          <w:u w:color="000000" w:themeColor="text1"/>
        </w:rPr>
        <w:tab/>
        <w:t>The Rural Infrastructure Authority is permitted to modify or waive the program parameters of SECTIONS 4, 5, 6</w:t>
      </w:r>
      <w:r>
        <w:rPr>
          <w:u w:color="000000" w:themeColor="text1"/>
        </w:rPr>
        <w:t>,</w:t>
      </w:r>
      <w:r w:rsidRPr="009A31D9">
        <w:rPr>
          <w:u w:color="000000" w:themeColor="text1"/>
        </w:rPr>
        <w:t xml:space="preserve"> and </w:t>
      </w:r>
      <w:r w:rsidRPr="009A31D9">
        <w:rPr>
          <w:u w:color="000000" w:themeColor="text1"/>
        </w:rPr>
        <w:lastRenderedPageBreak/>
        <w:t>7 to ensure the timely and equitable distribution of funds in compliance with federal guidelines for these funds. Modifications to funding amounts authorized for specific use by each program first must be submitted with justification to the Joint Bond Review Committee for review and comment. The Rural Infrastructure Authority shall submit a report of all other modifications to the Joint Bond Review Committee.</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A31D9">
        <w:rPr>
          <w:u w:color="000000" w:themeColor="text1"/>
        </w:rPr>
        <w:t>Office of Regulatory Staff</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9.</w:t>
      </w:r>
      <w:r w:rsidRPr="009A31D9">
        <w:rPr>
          <w:u w:color="000000" w:themeColor="text1"/>
        </w:rPr>
        <w:tab/>
        <w:t>There is established in the State Treasury an account to be known as the ARPA Broadband Account. This account is separate and distinct from the general fund of the State and all other funds and accounts. The account shall consist of federal funds authorized pursuant to subsection (A)(3) of SECTION 1 of this act. The funds in the ARPA Broadband Account must be used to expand broadband infrastructure to households, businesses, and communities in the State that are unserved or underserved by broadband services.</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10.</w:t>
      </w:r>
      <w:r w:rsidRPr="009A31D9">
        <w:rPr>
          <w:u w:color="000000" w:themeColor="text1"/>
        </w:rPr>
        <w:tab/>
        <w:t>(A)</w:t>
      </w:r>
      <w:r w:rsidRPr="009A31D9">
        <w:rPr>
          <w:u w:color="000000" w:themeColor="text1"/>
        </w:rPr>
        <w:tab/>
        <w:t>The Office of Broadband Coordinator within the Office of Regulatory Staff, is authorized to expend funds from the ARPA Broadband Account to:</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administer a grant program to expand broadband infrastructure to households, businesses, and communities in the State that are unserved or underserved by broadband services;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provide technical assistance and coordination;</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host and participate in stakeholder discussions and advisory groups;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support continued mapping efforts including, but not limited to, costs associated with storage, security, and data collection;</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engage in and undertake such other activities related to or necessary to fulfilling the requirements of expanding broadband infrastructure to households, businesses, and communities in the State that are unserved or underserved by broadband services;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expend funds for alternative and enabling technologies including, but not limited to, wireless broadband service, low earth orbit satellite, middle</w:t>
      </w:r>
      <w:r w:rsidRPr="009A31D9">
        <w:rPr>
          <w:u w:color="000000" w:themeColor="text1"/>
        </w:rPr>
        <w:noBreakHyphen/>
        <w:t>mile fiber, enhanced cellular service, and carrier neutral broadband infrastructure;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(7)</w:t>
      </w:r>
      <w:r w:rsidRPr="009A31D9">
        <w:rPr>
          <w:u w:color="000000" w:themeColor="text1"/>
        </w:rPr>
        <w:tab/>
        <w:t xml:space="preserve">reimburse any state funds as may be allowed by ARPA, or related guidance issued by the United States Department of the Treasury, for reasonable costs associated with administering the </w:t>
      </w:r>
      <w:r w:rsidRPr="009A31D9">
        <w:rPr>
          <w:u w:color="000000" w:themeColor="text1"/>
        </w:rPr>
        <w:lastRenderedPageBreak/>
        <w:t>grant program and fulfilling the Office of Broadband Coordinator’s obligations established by this act.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All expenditures, reimbursements, and grants awarded by the Office of Broadband Coordinator must be in compliance with ARPA and the methods and guidance issued by the United States Department of Treasury for the allocation and oversight of ARPA funding.</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11.</w:t>
      </w:r>
      <w:r w:rsidRPr="009A31D9">
        <w:rPr>
          <w:u w:color="000000" w:themeColor="text1"/>
        </w:rPr>
        <w:tab/>
        <w:t>(A)</w:t>
      </w:r>
      <w:r w:rsidRPr="009A31D9">
        <w:rPr>
          <w:u w:color="000000" w:themeColor="text1"/>
        </w:rPr>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Electric Cooperatives that own broadband facilities pursuant to the provisions of Article 25, Chapter 9, Title 58 of the 1976 Code, the Broadband Accessibility Act, are eligible to receive grants from the ARPA Broadband Account.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Grants may be disbursed to recipients in tranches.  The number and amount of funding in each tranche must be determined by the Office of Broadband Coordinator.</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12.</w:t>
      </w:r>
      <w:r w:rsidRPr="009A31D9">
        <w:rPr>
          <w:u w:color="000000" w:themeColor="text1"/>
        </w:rPr>
        <w:tab/>
        <w:t>(A)</w:t>
      </w:r>
      <w:r w:rsidRPr="009A31D9">
        <w:rPr>
          <w:u w:color="000000" w:themeColor="text1"/>
        </w:rPr>
        <w:tab/>
        <w:t>Grant recipients and other entities receiving funds pursuant to SECTION 11 shall report to the Office of Broadband Coordinator concerning the progress of the recipient’s project. The reports shall provide the most accurate and granular representation of then</w:t>
      </w:r>
      <w:r w:rsidRPr="009A31D9">
        <w:rPr>
          <w:u w:color="000000" w:themeColor="text1"/>
        </w:rPr>
        <w:noBreakHyphen/>
        <w:t>currently available broadband infrastructure installed by the recipient, the type of technology installed, the sustainable download and upload speeds available at each serviceable location, and other information that the Office of Broadband Coordinator requires.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The Office of Broadband Coordinator shall maintain as confidential all individual company</w:t>
      </w:r>
      <w:r w:rsidRPr="009A31D9">
        <w:rPr>
          <w:u w:color="000000" w:themeColor="text1"/>
        </w:rPr>
        <w:noBreakHyphen/>
        <w:t>designated proprietary information. All such individual proprietary information is exempt from the provisions contained in Chapter 4 of Title 30 of the 1976 Code, the South Carolina Freedom of Information Act.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 xml:space="preserve">The Office of Regulatory Staff is authorized to contract with broadband service providers and to procure professional grant management, vendor, consulting, or other services for oversight and compliance of funds designated, granted, and disbursed pursuant to this act and for other purposes as the Office of Regulatory Staff may determine necessary to implement the purposes of this act.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t>(D)</w:t>
      </w:r>
      <w:r w:rsidRPr="009A31D9">
        <w:rPr>
          <w:u w:color="000000" w:themeColor="text1"/>
        </w:rPr>
        <w:tab/>
        <w:t>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must be done pursuant to the provisions of Section 11</w:t>
      </w:r>
      <w:r w:rsidRPr="009A31D9">
        <w:rPr>
          <w:u w:color="000000" w:themeColor="text1"/>
        </w:rPr>
        <w:noBreakHyphen/>
        <w:t>35</w:t>
      </w:r>
      <w:r w:rsidRPr="009A31D9">
        <w:rPr>
          <w:u w:color="000000" w:themeColor="text1"/>
        </w:rPr>
        <w:noBreakHyphen/>
        <w:t xml:space="preserve">1570 of the 1976 Code.  The Executive Director of the Office of Regulatory Staff shall coordinate the process used to contract with broadband service providers and to procure grant management, vendor, or consulting services and is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personnel as necessary to assist the Office of Regulatory Staff in carrying out its duties under this act. </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9A31D9">
        <w:rPr>
          <w:u w:color="000000" w:themeColor="text1"/>
        </w:rPr>
        <w:t>Office of Resilience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13.</w:t>
      </w:r>
      <w:r w:rsidRPr="009A31D9">
        <w:rPr>
          <w:u w:color="000000" w:themeColor="text1"/>
        </w:rPr>
        <w:tab/>
        <w:t xml:space="preserve">(A) There is established in the State Treasury an account to be known as the ARPA Office of Resilience Account. This account is separate and distinct from the general fund of the State and all other funds and accounts. The account shall consist of federal funds authorized pursuant to subsection (A)(4) of SECTION 1 of this act. The funds in the ARPA Resilience Account must be used to complete stormwater infrastructure projects and acquisitions of </w:t>
      </w:r>
      <w:bookmarkStart w:id="5" w:name="temp"/>
      <w:bookmarkEnd w:id="5"/>
      <w:r w:rsidRPr="009A31D9">
        <w:rPr>
          <w:u w:color="000000" w:themeColor="text1"/>
        </w:rPr>
        <w:t xml:space="preserve">property in the floodplain throughout the State to lessen the impacts of future flood events.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All expenditures, reimbursements, and grants awarded by the Office of Resilience must be in compliance with ARPA and the methods and guidance issued by the United States Department of Treasury for the allocation and oversight of ARPA funding.</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Administration</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14.</w:t>
      </w:r>
      <w:r w:rsidRPr="009A31D9">
        <w:rPr>
          <w:u w:color="000000" w:themeColor="text1"/>
        </w:rPr>
        <w:tab/>
        <w:t>The Department of Administration is authorized to expend up to $8,000,000 of the federal funds authorized pursuant to subsection (A)(1) of SECTION 1 of this act for contracting for professional grant management services of ARPA funds and other federal COVID</w:t>
      </w:r>
      <w:r w:rsidRPr="009A31D9">
        <w:rPr>
          <w:u w:color="000000" w:themeColor="text1"/>
        </w:rPr>
        <w:noBreakHyphen/>
        <w:t>19 relief funds.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III</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Miscellaneous Provisions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SECTION</w:t>
      </w:r>
      <w:r w:rsidRPr="009A31D9">
        <w:rPr>
          <w:u w:color="000000" w:themeColor="text1"/>
        </w:rPr>
        <w:tab/>
        <w:t>15.</w:t>
      </w:r>
      <w:r w:rsidRPr="009A31D9">
        <w:rPr>
          <w:u w:color="000000" w:themeColor="text1"/>
        </w:rPr>
        <w:tab/>
        <w:t>The expenditure authorizations contained in this act are supplemental to the expenditure authorizations for receiving entities as contained in Act 94 of 2021, the General Appropriations Act for Fiscal Year 2021</w:t>
      </w:r>
      <w:r w:rsidRPr="009A31D9">
        <w:rPr>
          <w:u w:color="000000" w:themeColor="text1"/>
        </w:rPr>
        <w:noBreakHyphen/>
        <w:t>2022, and future expenditure authorizations enacted by the General Assembly through December 31, 2026.</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16.</w:t>
      </w:r>
      <w:r w:rsidRPr="009A31D9">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17.</w:t>
      </w:r>
      <w:r w:rsidRPr="009A31D9">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authorizing the disbursal and expenditure of federal funds received by the State pursuant to ARPA as clearly enumerated in the title.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18.</w:t>
      </w:r>
      <w:r w:rsidRPr="009A31D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A31D9">
        <w:rPr>
          <w:u w:color="000000" w:themeColor="text1"/>
        </w:rPr>
        <w:t>SECTION</w:t>
      </w:r>
      <w:r w:rsidRPr="009A31D9">
        <w:rPr>
          <w:u w:color="000000" w:themeColor="text1"/>
        </w:rPr>
        <w:tab/>
        <w:t>19.</w:t>
      </w:r>
      <w:r w:rsidRPr="009A31D9">
        <w:rPr>
          <w:u w:color="000000" w:themeColor="text1"/>
        </w:rPr>
        <w:tab/>
        <w:t>This act takes effect upon approval by the Governor.</w:t>
      </w:r>
    </w:p>
    <w:p w:rsidR="004B3A19" w:rsidRDefault="0010776B"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22E5" w:rsidRDefault="001122E5" w:rsidP="001122E5">
      <w:pPr>
        <w:suppressAutoHyphens/>
      </w:pPr>
    </w:p>
    <w:sectPr w:rsidR="001122E5"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embedRegular r:id="rId1" w:fontKey="{04504832-EA29-4DBA-B8F9-2F0B1A1266CB}"/>
    <w:embedBold r:id="rId2" w:fontKey="{4F9A2748-526B-4074-9F63-8E2311210D00}"/>
  </w:font>
  <w:font w:name="Calibri">
    <w:panose1 w:val="020F0502020204030204"/>
    <w:charset w:val="00"/>
    <w:family w:val="swiss"/>
    <w:pitch w:val="variable"/>
    <w:sig w:usb0="E4002EFF" w:usb1="C000247B" w:usb2="00000009" w:usb3="00000000" w:csb0="000001FF" w:csb1="00000000"/>
    <w:embedRegular r:id="rId3" w:fontKey="{3D2F7367-853C-48D1-99E1-033FCEB2F4C3}"/>
  </w:font>
  <w:font w:name="Cambria">
    <w:panose1 w:val="02040503050406030204"/>
    <w:charset w:val="00"/>
    <w:family w:val="roman"/>
    <w:pitch w:val="variable"/>
    <w:sig w:usb0="E00006FF" w:usb1="420024FF" w:usb2="02000000" w:usb3="00000000" w:csb0="0000019F" w:csb1="00000000"/>
    <w:embedRegular r:id="rId4" w:fontKey="{00D614EA-44E3-4CCC-962A-987F603A9E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1122E5">
      <w:rPr>
        <w:noProof/>
      </w:rPr>
      <w:t>1</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1122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A2E6C"/>
    <w:rsid w:val="000E0100"/>
    <w:rsid w:val="000E1785"/>
    <w:rsid w:val="000F40FA"/>
    <w:rsid w:val="001035F1"/>
    <w:rsid w:val="0010776B"/>
    <w:rsid w:val="001122E5"/>
    <w:rsid w:val="0012110B"/>
    <w:rsid w:val="00133E66"/>
    <w:rsid w:val="00141D8C"/>
    <w:rsid w:val="001435A3"/>
    <w:rsid w:val="00146ED3"/>
    <w:rsid w:val="00151044"/>
    <w:rsid w:val="001D08F2"/>
    <w:rsid w:val="001D3A58"/>
    <w:rsid w:val="001D525B"/>
    <w:rsid w:val="001D7F4F"/>
    <w:rsid w:val="001E449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19"/>
    <w:rsid w:val="004E7D54"/>
    <w:rsid w:val="005273C6"/>
    <w:rsid w:val="00530A69"/>
    <w:rsid w:val="005351DE"/>
    <w:rsid w:val="00545593"/>
    <w:rsid w:val="00556EBF"/>
    <w:rsid w:val="00577C6C"/>
    <w:rsid w:val="005A62FE"/>
    <w:rsid w:val="005C2FE2"/>
    <w:rsid w:val="005E2BC9"/>
    <w:rsid w:val="00605102"/>
    <w:rsid w:val="006215AA"/>
    <w:rsid w:val="006504E8"/>
    <w:rsid w:val="006913C9"/>
    <w:rsid w:val="0069470D"/>
    <w:rsid w:val="006D58AA"/>
    <w:rsid w:val="00734F00"/>
    <w:rsid w:val="00736959"/>
    <w:rsid w:val="007A70AE"/>
    <w:rsid w:val="008362E8"/>
    <w:rsid w:val="0085786E"/>
    <w:rsid w:val="008A1768"/>
    <w:rsid w:val="008A489F"/>
    <w:rsid w:val="008F0F33"/>
    <w:rsid w:val="008F4429"/>
    <w:rsid w:val="00917B64"/>
    <w:rsid w:val="0094021A"/>
    <w:rsid w:val="00962C32"/>
    <w:rsid w:val="009B44AF"/>
    <w:rsid w:val="009C6A0B"/>
    <w:rsid w:val="009F0C77"/>
    <w:rsid w:val="009F4DD1"/>
    <w:rsid w:val="00A02543"/>
    <w:rsid w:val="00A41684"/>
    <w:rsid w:val="00A422F5"/>
    <w:rsid w:val="00A64E80"/>
    <w:rsid w:val="00A72BCD"/>
    <w:rsid w:val="00A741D9"/>
    <w:rsid w:val="00A833AB"/>
    <w:rsid w:val="00A9741D"/>
    <w:rsid w:val="00AC34A2"/>
    <w:rsid w:val="00AD1C9A"/>
    <w:rsid w:val="00AD4B17"/>
    <w:rsid w:val="00B412D4"/>
    <w:rsid w:val="00B64FFF"/>
    <w:rsid w:val="00B84874"/>
    <w:rsid w:val="00B9126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9A0"/>
    <w:rsid w:val="00E41911"/>
    <w:rsid w:val="00E44B57"/>
    <w:rsid w:val="00E45304"/>
    <w:rsid w:val="00E92EEF"/>
    <w:rsid w:val="00EF2368"/>
    <w:rsid w:val="00F24442"/>
    <w:rsid w:val="00F3088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B3791"/>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C631B-443F-47DB-BDF3-68969B5C8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3005</Words>
  <Characters>16737</Characters>
  <Application>Microsoft Office Word</Application>
  <DocSecurity>0</DocSecurity>
  <Lines>391</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(Feb. 17, 2022) - South Carolina Legislature Online</dc:title>
  <dc:creator>Niki Downey</dc:creator>
  <cp:lastModifiedBy>Danny Crook</cp:lastModifiedBy>
  <cp:revision>2</cp:revision>
  <dcterms:created xsi:type="dcterms:W3CDTF">2022-02-17T16:36:00Z</dcterms:created>
  <dcterms:modified xsi:type="dcterms:W3CDTF">2022-02-17T16:36:00Z</dcterms:modified>
</cp:coreProperties>
</file>