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0FE" w:rsidRDefault="00BB30FE"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F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lang w:val="en-PH"/>
        </w:rPr>
        <w:t>TO AMEND SECTION 44</w:t>
      </w:r>
      <w:r w:rsidR="00033B63">
        <w:rPr>
          <w:lang w:val="en-PH"/>
        </w:rPr>
        <w:noBreakHyphen/>
      </w:r>
      <w:r>
        <w:rPr>
          <w:lang w:val="en-PH"/>
        </w:rPr>
        <w:t>7</w:t>
      </w:r>
      <w:r w:rsidR="00033B63">
        <w:rPr>
          <w:lang w:val="en-PH"/>
        </w:rPr>
        <w:noBreakHyphen/>
      </w:r>
      <w:r>
        <w:rPr>
          <w:lang w:val="en-PH"/>
        </w:rPr>
        <w:t>170, CODE OF LAWS OF SOUTH CAROLINA, 1976, RELATING TO CERTIFICATE OF NEED EXEMPTIONS, SO AS MAKE CERTIFICATE OF NEED REQUIREMENTS INAPPLICABLE TO HOME HEALTH AGENCIES; TO AMEND SECTION 44</w:t>
      </w:r>
      <w:r w:rsidR="00033B63">
        <w:rPr>
          <w:lang w:val="en-PH"/>
        </w:rPr>
        <w:noBreakHyphen/>
      </w:r>
      <w:r>
        <w:rPr>
          <w:lang w:val="en-PH"/>
        </w:rPr>
        <w:t>69</w:t>
      </w:r>
      <w:r w:rsidR="00033B63">
        <w:rPr>
          <w:lang w:val="en-PH"/>
        </w:rPr>
        <w:noBreakHyphen/>
      </w:r>
      <w:r>
        <w:rPr>
          <w:lang w:val="en-PH"/>
        </w:rPr>
        <w:t>30, RELATING TO THE LICENSING OF HOME HEALTH AGENCIES, SO AS TO MAKE CONFORMING CHANGES; AND TO REPEAL SECTION 44</w:t>
      </w:r>
      <w:r w:rsidR="00033B63">
        <w:rPr>
          <w:lang w:val="en-PH"/>
        </w:rPr>
        <w:noBreakHyphen/>
      </w:r>
      <w:r>
        <w:rPr>
          <w:lang w:val="en-PH"/>
        </w:rPr>
        <w:t>69</w:t>
      </w:r>
      <w:r w:rsidR="00033B63">
        <w:rPr>
          <w:lang w:val="en-PH"/>
        </w:rPr>
        <w:noBreakHyphen/>
      </w:r>
      <w:r>
        <w:rPr>
          <w:lang w:val="en-PH"/>
        </w:rPr>
        <w:t>75 RELATING TO CERTIFICATE OF NEED REQUIREMENTS FOR HOME HEALTH AGENCIES.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SECTION</w:t>
      </w:r>
      <w:r>
        <w:tab/>
        <w:t>1.</w:t>
      </w:r>
      <w:r>
        <w:tab/>
      </w:r>
      <w:r w:rsidR="00E941A1">
        <w:rPr>
          <w:lang w:val="en-PH"/>
        </w:rPr>
        <w:t>Section 44</w:t>
      </w:r>
      <w:r w:rsidR="00033B63">
        <w:rPr>
          <w:lang w:val="en-PH"/>
        </w:rPr>
        <w:noBreakHyphen/>
      </w:r>
      <w:r w:rsidR="00E941A1">
        <w:rPr>
          <w:lang w:val="en-PH"/>
        </w:rPr>
        <w:t>7</w:t>
      </w:r>
      <w:r w:rsidR="00033B63">
        <w:rPr>
          <w:lang w:val="en-PH"/>
        </w:rPr>
        <w:noBreakHyphen/>
      </w:r>
      <w:r w:rsidR="00E941A1">
        <w:rPr>
          <w:lang w:val="en-PH"/>
        </w:rPr>
        <w:t>170(B) of the 1976 Code is amended by adding an appropriately numbered item at the end to read:</w:t>
      </w:r>
    </w:p>
    <w:p w:rsidR="00E941A1" w:rsidRDefault="00E94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941A1" w:rsidRDefault="001C3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w:t>
      </w:r>
      <w:r>
        <w:rPr>
          <w:color w:val="000000" w:themeColor="text1"/>
          <w:u w:color="000000" w:themeColor="text1"/>
        </w:rPr>
        <w:t>( )</w:t>
      </w:r>
      <w:r>
        <w:rPr>
          <w:color w:val="000000" w:themeColor="text1"/>
          <w:u w:color="000000" w:themeColor="text1"/>
        </w:rPr>
        <w:tab/>
      </w:r>
      <w:r w:rsidRPr="0070004D">
        <w:rPr>
          <w:color w:val="000000" w:themeColor="text1"/>
          <w:u w:color="000000" w:themeColor="text1"/>
        </w:rPr>
        <w:t>any home health agency licensed pursuant to Chapter 69, Title 44.”</w:t>
      </w: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0004D">
        <w:rPr>
          <w:color w:val="000000" w:themeColor="text1"/>
          <w:u w:color="000000" w:themeColor="text1"/>
        </w:rPr>
        <w:t>The second and fourth paragraphs of Section 44</w:t>
      </w:r>
      <w:r w:rsidR="00033B63">
        <w:rPr>
          <w:color w:val="000000" w:themeColor="text1"/>
          <w:u w:color="000000" w:themeColor="text1"/>
        </w:rPr>
        <w:noBreakHyphen/>
      </w:r>
      <w:r w:rsidRPr="0070004D">
        <w:rPr>
          <w:color w:val="000000" w:themeColor="text1"/>
          <w:u w:color="000000" w:themeColor="text1"/>
        </w:rPr>
        <w:t>69</w:t>
      </w:r>
      <w:r w:rsidR="00033B63">
        <w:rPr>
          <w:color w:val="000000" w:themeColor="text1"/>
          <w:u w:color="000000" w:themeColor="text1"/>
        </w:rPr>
        <w:noBreakHyphen/>
      </w:r>
      <w:r w:rsidRPr="0070004D">
        <w:rPr>
          <w:color w:val="000000" w:themeColor="text1"/>
          <w:u w:color="000000" w:themeColor="text1"/>
        </w:rPr>
        <w:t>30 of the 1976 Code are amended to read:</w:t>
      </w: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D558C7">
        <w:rPr>
          <w:lang w:val="en-PH"/>
        </w:rPr>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w:t>
      </w:r>
      <w:r w:rsidR="00033B63">
        <w:rPr>
          <w:lang w:val="en-PH"/>
        </w:rPr>
        <w:t>’</w:t>
      </w:r>
      <w:r w:rsidRPr="00D558C7">
        <w:rPr>
          <w:lang w:val="en-PH"/>
        </w:rPr>
        <w:t xml:space="preserve">s home health employees, and provision of home care services adequate to meet the needs of the State. The department may facilitate the </w:t>
      </w:r>
      <w:r w:rsidRPr="00D558C7">
        <w:rPr>
          <w:lang w:val="en-PH"/>
        </w:rPr>
        <w:lastRenderedPageBreak/>
        <w:t xml:space="preserve">negotiation, contracting, or transfer of these activities through licensure and without requirement of a Certificate of Need as set out in Section </w:t>
      </w:r>
      <w:r w:rsidRPr="006F4A6A">
        <w:rPr>
          <w:strike/>
          <w:lang w:val="en-PH"/>
        </w:rPr>
        <w:t>44</w:t>
      </w:r>
      <w:r w:rsidR="00033B63">
        <w:rPr>
          <w:strike/>
          <w:lang w:val="en-PH"/>
        </w:rPr>
        <w:noBreakHyphen/>
      </w:r>
      <w:r w:rsidRPr="006F4A6A">
        <w:rPr>
          <w:strike/>
          <w:lang w:val="en-PH"/>
        </w:rPr>
        <w:t>69</w:t>
      </w:r>
      <w:r w:rsidR="00033B63">
        <w:rPr>
          <w:strike/>
          <w:lang w:val="en-PH"/>
        </w:rPr>
        <w:noBreakHyphen/>
      </w:r>
      <w:r w:rsidRPr="006F4A6A">
        <w:rPr>
          <w:strike/>
          <w:lang w:val="en-PH"/>
        </w:rPr>
        <w:t>75</w:t>
      </w:r>
      <w:r w:rsidRPr="00D558C7">
        <w:rPr>
          <w:lang w:val="en-PH"/>
        </w:rPr>
        <w:t xml:space="preserve"> </w:t>
      </w:r>
      <w:r w:rsidR="006F4A6A">
        <w:rPr>
          <w:u w:val="single"/>
          <w:lang w:val="en-PH"/>
        </w:rPr>
        <w:t>44</w:t>
      </w:r>
      <w:r w:rsidR="00033B63">
        <w:rPr>
          <w:u w:val="single"/>
          <w:lang w:val="en-PH"/>
        </w:rPr>
        <w:noBreakHyphen/>
      </w:r>
      <w:r w:rsidR="006F4A6A">
        <w:rPr>
          <w:u w:val="single"/>
          <w:lang w:val="en-PH"/>
        </w:rPr>
        <w:t>7</w:t>
      </w:r>
      <w:r w:rsidR="00033B63">
        <w:rPr>
          <w:u w:val="single"/>
          <w:lang w:val="en-PH"/>
        </w:rPr>
        <w:noBreakHyphen/>
      </w:r>
      <w:r w:rsidR="006F4A6A">
        <w:rPr>
          <w:u w:val="single"/>
          <w:lang w:val="en-PH"/>
        </w:rPr>
        <w:t>170(B)</w:t>
      </w:r>
      <w:r w:rsidR="006F4A6A">
        <w:rPr>
          <w:lang w:val="en-PH"/>
        </w:rPr>
        <w:t xml:space="preserve"> </w:t>
      </w:r>
      <w:r w:rsidRPr="00D558C7">
        <w:rPr>
          <w:lang w:val="en-PH"/>
        </w:rPr>
        <w:t>and without regard to the Procurement Code, Section 11</w:t>
      </w:r>
      <w:r w:rsidR="00033B63">
        <w:rPr>
          <w:lang w:val="en-PH"/>
        </w:rPr>
        <w:noBreakHyphen/>
      </w:r>
      <w:r w:rsidRPr="00D558C7">
        <w:rPr>
          <w:lang w:val="en-PH"/>
        </w:rPr>
        <w:t>35</w:t>
      </w:r>
      <w:r w:rsidR="00033B63">
        <w:rPr>
          <w:lang w:val="en-PH"/>
        </w:rPr>
        <w:noBreakHyphen/>
      </w:r>
      <w:r w:rsidRPr="00D558C7">
        <w:rPr>
          <w:lang w:val="en-PH"/>
        </w:rPr>
        <w:t>10, et. seq. However, a sale of the entity is subject to the provisions of the Procurement Code.</w:t>
      </w: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D558C7">
        <w:rPr>
          <w:lang w:val="en-PH"/>
        </w:rPr>
        <w:t xml:space="preserve">The department may establish requirements and conditions upon those entities joined in partnership or receiving transfer of the home care services, </w:t>
      </w:r>
      <w:r w:rsidR="00533D3E">
        <w:rPr>
          <w:u w:val="single"/>
          <w:lang w:val="en-PH"/>
        </w:rPr>
        <w:t>and</w:t>
      </w:r>
      <w:r w:rsidR="00533D3E">
        <w:rPr>
          <w:lang w:val="en-PH"/>
        </w:rPr>
        <w:t xml:space="preserve"> </w:t>
      </w:r>
      <w:r w:rsidRPr="00D558C7">
        <w:rPr>
          <w:lang w:val="en-PH"/>
        </w:rPr>
        <w:t>licensing</w:t>
      </w:r>
      <w:r w:rsidRPr="00533D3E">
        <w:rPr>
          <w:strike/>
          <w:lang w:val="en-PH"/>
        </w:rPr>
        <w:t>, and Certificate of Need</w:t>
      </w:r>
      <w:r w:rsidRPr="00D558C7">
        <w:rPr>
          <w:lang w:val="en-PH"/>
        </w:rPr>
        <w:t xml:space="preserve"> including, but not limited to, transfer of employees, coverage of indigent patients, and payments or contributions to the department to continue the provision of basic public health services as determined by the department. All agreements must be reviewed and approved by the board of the department. The department may monitor and enforce the contract or partnership provisions and/or conditions of transfer or any other conditions or requirements of agreements entered into pursuant to this section.</w:t>
      </w:r>
      <w:r>
        <w:rPr>
          <w:lang w:val="en-PH"/>
        </w:rPr>
        <w:t>”</w:t>
      </w:r>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CBB" w:rsidRDefault="00196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0004D">
        <w:rPr>
          <w:color w:val="000000" w:themeColor="text1"/>
          <w:u w:color="000000" w:themeColor="text1"/>
        </w:rPr>
        <w:t>3.</w:t>
      </w:r>
      <w:r>
        <w:rPr>
          <w:color w:val="000000" w:themeColor="text1"/>
          <w:u w:color="000000" w:themeColor="text1"/>
        </w:rPr>
        <w:tab/>
      </w:r>
      <w:r w:rsidRPr="0070004D">
        <w:rPr>
          <w:color w:val="000000" w:themeColor="text1"/>
          <w:u w:color="000000" w:themeColor="text1"/>
        </w:rPr>
        <w:t>Section 44</w:t>
      </w:r>
      <w:r w:rsidR="00033B63">
        <w:rPr>
          <w:color w:val="000000" w:themeColor="text1"/>
          <w:u w:color="000000" w:themeColor="text1"/>
        </w:rPr>
        <w:noBreakHyphen/>
      </w:r>
      <w:r w:rsidRPr="0070004D">
        <w:rPr>
          <w:color w:val="000000" w:themeColor="text1"/>
          <w:u w:color="000000" w:themeColor="text1"/>
        </w:rPr>
        <w:t>69</w:t>
      </w:r>
      <w:r w:rsidR="00033B63">
        <w:rPr>
          <w:color w:val="000000" w:themeColor="text1"/>
          <w:u w:color="000000" w:themeColor="text1"/>
        </w:rPr>
        <w:noBreakHyphen/>
      </w:r>
      <w:r w:rsidRPr="0070004D">
        <w:rPr>
          <w:color w:val="000000" w:themeColor="text1"/>
          <w:u w:color="000000" w:themeColor="text1"/>
        </w:rPr>
        <w:t xml:space="preserve">75 of the 1976 Code is repealed. </w:t>
      </w:r>
    </w:p>
    <w:p w:rsidR="00196CBB" w:rsidRDefault="00196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6CBB">
        <w:t>4</w:t>
      </w:r>
      <w:r>
        <w:t>.</w:t>
      </w:r>
      <w:r>
        <w:tab/>
        <w:t>This act takes effect upon approval by the Governor.</w:t>
      </w:r>
    </w:p>
    <w:p w:rsidR="002A7246" w:rsidRDefault="00033B63" w:rsidP="0064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0FE" w:rsidRDefault="00BB30FE" w:rsidP="00BB30FE">
      <w:pPr>
        <w:suppressAutoHyphens/>
      </w:pPr>
    </w:p>
    <w:sectPr w:rsidR="00BB30FE" w:rsidSect="00BB30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1A1" w:rsidRDefault="00E941A1" w:rsidP="009F0C77">
      <w:r>
        <w:separator/>
      </w:r>
    </w:p>
  </w:endnote>
  <w:endnote w:type="continuationSeparator" w:id="0">
    <w:p w:rsidR="00E941A1" w:rsidRDefault="00E94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5B11E6-0642-4294-BE48-2D73AECDC2A3}"/>
    <w:embedBold r:id="rId2" w:fontKey="{CDD208C2-1495-48CE-9C54-374A49C560A0}"/>
  </w:font>
  <w:font w:name="Calibri">
    <w:panose1 w:val="020F0502020204030204"/>
    <w:charset w:val="00"/>
    <w:family w:val="swiss"/>
    <w:pitch w:val="variable"/>
    <w:sig w:usb0="E4002EFF" w:usb1="C000247B" w:usb2="00000009" w:usb3="00000000" w:csb0="000001FF" w:csb1="00000000"/>
    <w:embedRegular r:id="rId3" w:fontKey="{06BBBC0B-544A-4954-BEE8-33AB6FC8C801}"/>
  </w:font>
  <w:font w:name="Segoe UI">
    <w:panose1 w:val="020B0502040204020203"/>
    <w:charset w:val="00"/>
    <w:family w:val="swiss"/>
    <w:pitch w:val="variable"/>
    <w:sig w:usb0="E4002EFF" w:usb1="C000E47F" w:usb2="00000009" w:usb3="00000000" w:csb0="000001FF" w:csb1="00000000"/>
    <w:embedRegular r:id="rId4" w:fontKey="{99D7B9E4-3A13-4CA4-B44A-5DD7E4710D88}"/>
  </w:font>
  <w:font w:name="Cambria">
    <w:panose1 w:val="02040503050406030204"/>
    <w:charset w:val="00"/>
    <w:family w:val="roman"/>
    <w:pitch w:val="variable"/>
    <w:sig w:usb0="E00006FF" w:usb1="420024FF" w:usb2="02000000" w:usb3="00000000" w:csb0="0000019F" w:csb1="00000000"/>
    <w:embedRegular r:id="rId5" w:fontKey="{BA011D50-36E3-4EA2-962E-EB179EA25B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246" w:rsidRPr="00BB30FE" w:rsidRDefault="00BB30FE" w:rsidP="00BB30FE">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1A1" w:rsidRDefault="00E941A1" w:rsidP="009F0C77">
      <w:r>
        <w:separator/>
      </w:r>
    </w:p>
  </w:footnote>
  <w:footnote w:type="continuationSeparator" w:id="0">
    <w:p w:rsidR="00E941A1" w:rsidRDefault="00E94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8VR22"/>
    <w:docVar w:name="CoverBillType" w:val="b"/>
    <w:docVar w:name="DocPath" w:val="L:\Council\bills\CC\16078VR22.DOCX"/>
    <w:docVar w:name="dvBillNumber" w:val="4546"/>
    <w:docVar w:name="dvBillNumberPrefix" w:val="H. "/>
    <w:docVar w:name="dvOriginalBody" w:val="House"/>
    <w:docVar w:name="dvSteno" w:val="CC"/>
    <w:docVar w:name="NameofBody" w:val="h"/>
    <w:docVar w:name="vGroup2" w:val="Council"/>
  </w:docVars>
  <w:rsids>
    <w:rsidRoot w:val="002C1F0E"/>
    <w:rsid w:val="00011869"/>
    <w:rsid w:val="00015CD6"/>
    <w:rsid w:val="00033B63"/>
    <w:rsid w:val="00037CDE"/>
    <w:rsid w:val="000E0100"/>
    <w:rsid w:val="000E1785"/>
    <w:rsid w:val="000F40FA"/>
    <w:rsid w:val="001035F1"/>
    <w:rsid w:val="0010776B"/>
    <w:rsid w:val="00133E66"/>
    <w:rsid w:val="001435A3"/>
    <w:rsid w:val="00146ED3"/>
    <w:rsid w:val="00151044"/>
    <w:rsid w:val="00196CBB"/>
    <w:rsid w:val="001C3773"/>
    <w:rsid w:val="001D08F2"/>
    <w:rsid w:val="001D3A58"/>
    <w:rsid w:val="001D525B"/>
    <w:rsid w:val="001D7F4F"/>
    <w:rsid w:val="00205238"/>
    <w:rsid w:val="0021618B"/>
    <w:rsid w:val="002321B6"/>
    <w:rsid w:val="00232912"/>
    <w:rsid w:val="00250967"/>
    <w:rsid w:val="002543C8"/>
    <w:rsid w:val="0025541D"/>
    <w:rsid w:val="00267569"/>
    <w:rsid w:val="00284AAE"/>
    <w:rsid w:val="002A7246"/>
    <w:rsid w:val="002C1F0E"/>
    <w:rsid w:val="002E4AD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3BC"/>
    <w:rsid w:val="004809EE"/>
    <w:rsid w:val="004E7D54"/>
    <w:rsid w:val="005273C6"/>
    <w:rsid w:val="00530A69"/>
    <w:rsid w:val="00533D3E"/>
    <w:rsid w:val="00545593"/>
    <w:rsid w:val="00556EBF"/>
    <w:rsid w:val="00577C6C"/>
    <w:rsid w:val="005A62FE"/>
    <w:rsid w:val="005C2FE2"/>
    <w:rsid w:val="005E2BC9"/>
    <w:rsid w:val="00605102"/>
    <w:rsid w:val="006215AA"/>
    <w:rsid w:val="00642873"/>
    <w:rsid w:val="0065116A"/>
    <w:rsid w:val="00683DD7"/>
    <w:rsid w:val="006913C9"/>
    <w:rsid w:val="0069470D"/>
    <w:rsid w:val="006A796D"/>
    <w:rsid w:val="006B7229"/>
    <w:rsid w:val="006D58AA"/>
    <w:rsid w:val="006F4A6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30FE"/>
    <w:rsid w:val="00BC1EE1"/>
    <w:rsid w:val="00BE3C22"/>
    <w:rsid w:val="00C0345E"/>
    <w:rsid w:val="00C21ABE"/>
    <w:rsid w:val="00C31C95"/>
    <w:rsid w:val="00C3483A"/>
    <w:rsid w:val="00C74E9D"/>
    <w:rsid w:val="00C826DD"/>
    <w:rsid w:val="00C82FD3"/>
    <w:rsid w:val="00C92819"/>
    <w:rsid w:val="00CB6910"/>
    <w:rsid w:val="00CC6B7B"/>
    <w:rsid w:val="00CD2089"/>
    <w:rsid w:val="00D53435"/>
    <w:rsid w:val="00D73A67"/>
    <w:rsid w:val="00D970A9"/>
    <w:rsid w:val="00DF3845"/>
    <w:rsid w:val="00E41911"/>
    <w:rsid w:val="00E44B57"/>
    <w:rsid w:val="00E92EEF"/>
    <w:rsid w:val="00E941A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C64716-3E57-4E06-B2B3-FD8ED80CD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3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2121-0A03-4CDD-BF61-CC510052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2176</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4546 Text of Previous Version (Nov. 10, 2021) - South Carolina Legislature Online</dc:title>
  <dc:creator>Chris Charlton</dc:creator>
  <cp:lastModifiedBy>S Wilson</cp:lastModifiedBy>
  <cp:revision>2</cp:revision>
  <cp:lastPrinted>2021-11-08T14:25:00Z</cp:lastPrinted>
  <dcterms:created xsi:type="dcterms:W3CDTF">2021-11-10T19:18:00Z</dcterms:created>
  <dcterms:modified xsi:type="dcterms:W3CDTF">2021-11-10T19:18:00Z</dcterms:modified>
</cp:coreProperties>
</file>