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072" w:rsidRDefault="00B410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68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2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5B25B5">
        <w:rPr>
          <w:color w:val="000000" w:themeColor="text1"/>
          <w:u w:color="000000" w:themeColor="text1"/>
        </w:rPr>
        <w:t>AMEND THE CODE OF LAWS OF SOUTH CAROLINA, 1976, BY ADDING CHAPTER 157 TO TITLE 59 SO AS TO PROVIDE THAT INDIVIDUALIZED EDUCATION PROGRAM TEAMS SHALL MAKE CERTAIN CONSIDERATIONS FOR CHILDREN WHO IDENTIFY AS DEAF OR HARD</w:t>
      </w:r>
      <w:r>
        <w:rPr>
          <w:color w:val="000000" w:themeColor="text1"/>
          <w:u w:color="000000" w:themeColor="text1"/>
        </w:rPr>
        <w:noBreakHyphen/>
      </w:r>
      <w:r w:rsidRPr="005B25B5">
        <w:rPr>
          <w:color w:val="000000" w:themeColor="text1"/>
          <w:u w:color="000000" w:themeColor="text1"/>
        </w:rPr>
        <w:t>OF</w:t>
      </w:r>
      <w:r>
        <w:rPr>
          <w:color w:val="000000" w:themeColor="text1"/>
          <w:u w:color="000000" w:themeColor="text1"/>
        </w:rPr>
        <w:noBreakHyphen/>
      </w:r>
      <w:r w:rsidRPr="005B25B5">
        <w:rPr>
          <w:color w:val="000000" w:themeColor="text1"/>
          <w:u w:color="000000" w:themeColor="text1"/>
        </w:rPr>
        <w:t>HEARING.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68D6" w:rsidRDefault="009A68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68D6" w:rsidRDefault="009A68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B25B5">
        <w:rPr>
          <w:color w:val="000000" w:themeColor="text1"/>
          <w:u w:color="000000" w:themeColor="text1"/>
        </w:rPr>
        <w:t>Title 59 of the 1976 Code is amended by adding:</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Pr="005B25B5">
        <w:rPr>
          <w:color w:val="000000" w:themeColor="text1"/>
          <w:u w:color="000000" w:themeColor="text1"/>
        </w:rPr>
        <w:t xml:space="preserve"> 157</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B25B5">
        <w:rPr>
          <w:color w:val="000000" w:themeColor="text1"/>
          <w:u w:color="000000" w:themeColor="text1"/>
        </w:rPr>
        <w:t>Deaf persons</w:t>
      </w:r>
      <w:r>
        <w:rPr>
          <w:color w:val="000000" w:themeColor="text1"/>
          <w:u w:color="000000" w:themeColor="text1"/>
        </w:rPr>
        <w:t>’</w:t>
      </w:r>
      <w:r w:rsidRPr="005B25B5">
        <w:rPr>
          <w:color w:val="000000" w:themeColor="text1"/>
          <w:u w:color="000000" w:themeColor="text1"/>
        </w:rPr>
        <w:t xml:space="preserve"> literacy rights and education</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t>Section 59</w:t>
      </w:r>
      <w:r>
        <w:rPr>
          <w:color w:val="000000" w:themeColor="text1"/>
          <w:u w:color="000000" w:themeColor="text1"/>
        </w:rPr>
        <w:noBreakHyphen/>
      </w:r>
      <w:r w:rsidRPr="005B25B5">
        <w:rPr>
          <w:color w:val="000000" w:themeColor="text1"/>
          <w:u w:color="000000" w:themeColor="text1"/>
        </w:rPr>
        <w:t>157</w:t>
      </w:r>
      <w:r>
        <w:rPr>
          <w:color w:val="000000" w:themeColor="text1"/>
          <w:u w:color="000000" w:themeColor="text1"/>
        </w:rPr>
        <w:noBreakHyphen/>
      </w:r>
      <w:r w:rsidRPr="005B25B5">
        <w:rPr>
          <w:color w:val="000000" w:themeColor="text1"/>
          <w:u w:color="000000" w:themeColor="text1"/>
        </w:rPr>
        <w:t>10.</w:t>
      </w:r>
      <w:r w:rsidRPr="005B25B5">
        <w:rPr>
          <w:color w:val="000000" w:themeColor="text1"/>
          <w:u w:color="000000" w:themeColor="text1"/>
        </w:rPr>
        <w:tab/>
        <w:t>As used in this chapter:</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t>(1)</w:t>
      </w:r>
      <w:r w:rsidRPr="005B25B5">
        <w:rPr>
          <w:color w:val="000000" w:themeColor="text1"/>
          <w:u w:color="000000" w:themeColor="text1"/>
        </w:rPr>
        <w:tab/>
      </w:r>
      <w:r>
        <w:rPr>
          <w:color w:val="000000" w:themeColor="text1"/>
          <w:u w:color="000000" w:themeColor="text1"/>
        </w:rPr>
        <w:t>‘</w:t>
      </w:r>
      <w:r w:rsidRPr="005B25B5">
        <w:rPr>
          <w:color w:val="000000" w:themeColor="text1"/>
          <w:u w:color="000000" w:themeColor="text1"/>
        </w:rPr>
        <w:t>Communication mode or language mode</w:t>
      </w:r>
      <w:r>
        <w:rPr>
          <w:color w:val="000000" w:themeColor="text1"/>
          <w:u w:color="000000" w:themeColor="text1"/>
        </w:rPr>
        <w:t>’</w:t>
      </w:r>
      <w:r w:rsidRPr="005B25B5">
        <w:rPr>
          <w:color w:val="000000" w:themeColor="text1"/>
          <w:u w:color="000000" w:themeColor="text1"/>
        </w:rPr>
        <w:t xml:space="preserve"> means one or more of the following systems or methods of communication applicable to children identified as deaf or hard</w:t>
      </w:r>
      <w:r>
        <w:rPr>
          <w:color w:val="000000" w:themeColor="text1"/>
          <w:u w:color="000000" w:themeColor="text1"/>
        </w:rPr>
        <w:noBreakHyphen/>
      </w:r>
      <w:r w:rsidRPr="005B25B5">
        <w:rPr>
          <w:color w:val="000000" w:themeColor="text1"/>
          <w:u w:color="000000" w:themeColor="text1"/>
        </w:rPr>
        <w:t>of</w:t>
      </w:r>
      <w:r>
        <w:rPr>
          <w:color w:val="000000" w:themeColor="text1"/>
          <w:u w:color="000000" w:themeColor="text1"/>
        </w:rPr>
        <w:noBreakHyphen/>
      </w:r>
      <w:r w:rsidRPr="005B25B5">
        <w:rPr>
          <w:color w:val="000000" w:themeColor="text1"/>
          <w:u w:color="000000" w:themeColor="text1"/>
        </w:rPr>
        <w:t>hearing:</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r>
      <w:r w:rsidRPr="005B25B5">
        <w:rPr>
          <w:color w:val="000000" w:themeColor="text1"/>
          <w:u w:color="000000" w:themeColor="text1"/>
        </w:rPr>
        <w:tab/>
        <w:t>(a)</w:t>
      </w:r>
      <w:r w:rsidRPr="005B25B5">
        <w:rPr>
          <w:color w:val="000000" w:themeColor="text1"/>
          <w:u w:color="000000" w:themeColor="text1"/>
        </w:rPr>
        <w:tab/>
        <w:t>American Sign Language;</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r>
      <w:r w:rsidRPr="005B25B5">
        <w:rPr>
          <w:color w:val="000000" w:themeColor="text1"/>
          <w:u w:color="000000" w:themeColor="text1"/>
        </w:rPr>
        <w:tab/>
        <w:t>(b)</w:t>
      </w:r>
      <w:r w:rsidRPr="005B25B5">
        <w:rPr>
          <w:color w:val="000000" w:themeColor="text1"/>
          <w:u w:color="000000" w:themeColor="text1"/>
        </w:rPr>
        <w:tab/>
        <w:t>English</w:t>
      </w:r>
      <w:r>
        <w:rPr>
          <w:color w:val="000000" w:themeColor="text1"/>
          <w:u w:color="000000" w:themeColor="text1"/>
        </w:rPr>
        <w:noBreakHyphen/>
      </w:r>
      <w:r w:rsidRPr="005B25B5">
        <w:rPr>
          <w:color w:val="000000" w:themeColor="text1"/>
          <w:u w:color="000000" w:themeColor="text1"/>
        </w:rPr>
        <w:t>based manual or sign systems;</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r>
      <w:r w:rsidRPr="005B25B5">
        <w:rPr>
          <w:color w:val="000000" w:themeColor="text1"/>
          <w:u w:color="000000" w:themeColor="text1"/>
        </w:rPr>
        <w:tab/>
        <w:t>(c)</w:t>
      </w:r>
      <w:r w:rsidRPr="005B25B5">
        <w:rPr>
          <w:color w:val="000000" w:themeColor="text1"/>
          <w:u w:color="000000" w:themeColor="text1"/>
        </w:rPr>
        <w:tab/>
        <w:t>oral, aural, speech</w:t>
      </w:r>
      <w:r>
        <w:rPr>
          <w:color w:val="000000" w:themeColor="text1"/>
          <w:u w:color="000000" w:themeColor="text1"/>
        </w:rPr>
        <w:noBreakHyphen/>
      </w:r>
      <w:r w:rsidRPr="005B25B5">
        <w:rPr>
          <w:color w:val="000000" w:themeColor="text1"/>
          <w:u w:color="000000" w:themeColor="text1"/>
        </w:rPr>
        <w:t>based training;</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r>
      <w:r w:rsidRPr="005B25B5">
        <w:rPr>
          <w:color w:val="000000" w:themeColor="text1"/>
          <w:u w:color="000000" w:themeColor="text1"/>
        </w:rPr>
        <w:tab/>
        <w:t>(d)</w:t>
      </w:r>
      <w:r w:rsidRPr="005B25B5">
        <w:rPr>
          <w:color w:val="000000" w:themeColor="text1"/>
          <w:u w:color="000000" w:themeColor="text1"/>
        </w:rPr>
        <w:tab/>
        <w:t>spoken and written English, including speech reading, lip reading, or cued speech; and</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r>
      <w:r w:rsidRPr="005B25B5">
        <w:rPr>
          <w:color w:val="000000" w:themeColor="text1"/>
          <w:u w:color="000000" w:themeColor="text1"/>
        </w:rPr>
        <w:tab/>
        <w:t>(e)</w:t>
      </w:r>
      <w:r w:rsidRPr="005B25B5">
        <w:rPr>
          <w:color w:val="000000" w:themeColor="text1"/>
          <w:u w:color="000000" w:themeColor="text1"/>
        </w:rPr>
        <w:tab/>
        <w:t>communication with assistive technology devices to facilitate language and learning.</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t>(2)</w:t>
      </w:r>
      <w:r w:rsidRPr="005B25B5">
        <w:rPr>
          <w:color w:val="000000" w:themeColor="text1"/>
          <w:u w:color="000000" w:themeColor="text1"/>
        </w:rPr>
        <w:tab/>
      </w:r>
      <w:r>
        <w:rPr>
          <w:color w:val="000000" w:themeColor="text1"/>
          <w:u w:color="000000" w:themeColor="text1"/>
        </w:rPr>
        <w:t>‘</w:t>
      </w:r>
      <w:r w:rsidRPr="005B25B5">
        <w:rPr>
          <w:color w:val="000000" w:themeColor="text1"/>
          <w:u w:color="000000" w:themeColor="text1"/>
        </w:rPr>
        <w:t>Deaf</w:t>
      </w:r>
      <w:r>
        <w:rPr>
          <w:color w:val="000000" w:themeColor="text1"/>
          <w:u w:color="000000" w:themeColor="text1"/>
        </w:rPr>
        <w:t xml:space="preserve">’ means a hearing loss </w:t>
      </w:r>
      <w:r w:rsidRPr="005B25B5">
        <w:rPr>
          <w:color w:val="000000" w:themeColor="text1"/>
          <w:u w:color="000000" w:themeColor="text1"/>
        </w:rPr>
        <w:t>that is so severe that the individual is impaired in processing linguistic information through hearing, with or without amplification.</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lastRenderedPageBreak/>
        <w:tab/>
      </w:r>
      <w:r w:rsidRPr="005B25B5">
        <w:rPr>
          <w:color w:val="000000" w:themeColor="text1"/>
          <w:u w:color="000000" w:themeColor="text1"/>
        </w:rPr>
        <w:tab/>
        <w:t>(3)</w:t>
      </w:r>
      <w:r w:rsidRPr="005B25B5">
        <w:rPr>
          <w:color w:val="000000" w:themeColor="text1"/>
          <w:u w:color="000000" w:themeColor="text1"/>
        </w:rPr>
        <w:tab/>
      </w:r>
      <w:r>
        <w:rPr>
          <w:color w:val="000000" w:themeColor="text1"/>
          <w:u w:color="000000" w:themeColor="text1"/>
        </w:rPr>
        <w:t>‘</w:t>
      </w:r>
      <w:r w:rsidRPr="005B25B5">
        <w:rPr>
          <w:color w:val="000000" w:themeColor="text1"/>
          <w:u w:color="000000" w:themeColor="text1"/>
        </w:rPr>
        <w:t>Hard</w:t>
      </w:r>
      <w:r>
        <w:rPr>
          <w:color w:val="000000" w:themeColor="text1"/>
          <w:u w:color="000000" w:themeColor="text1"/>
        </w:rPr>
        <w:noBreakHyphen/>
      </w:r>
      <w:r w:rsidRPr="005B25B5">
        <w:rPr>
          <w:color w:val="000000" w:themeColor="text1"/>
          <w:u w:color="000000" w:themeColor="text1"/>
        </w:rPr>
        <w:t>of</w:t>
      </w:r>
      <w:r>
        <w:rPr>
          <w:color w:val="000000" w:themeColor="text1"/>
          <w:u w:color="000000" w:themeColor="text1"/>
        </w:rPr>
        <w:noBreakHyphen/>
      </w:r>
      <w:r w:rsidRPr="005B25B5">
        <w:rPr>
          <w:color w:val="000000" w:themeColor="text1"/>
          <w:u w:color="000000" w:themeColor="text1"/>
        </w:rPr>
        <w:t>hearing</w:t>
      </w:r>
      <w:r>
        <w:rPr>
          <w:color w:val="000000" w:themeColor="text1"/>
          <w:u w:color="000000" w:themeColor="text1"/>
        </w:rPr>
        <w:t>’</w:t>
      </w:r>
      <w:r w:rsidRPr="005B25B5">
        <w:rPr>
          <w:color w:val="000000" w:themeColor="text1"/>
          <w:u w:color="000000" w:themeColor="text1"/>
        </w:rPr>
        <w:t xml:space="preserve"> means a hearing loss where there may be enough residual hearing that an auditory device, such as a hearing aid or FM system, provides adequate assistance to process speech.</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t>(4)</w:t>
      </w:r>
      <w:r w:rsidRPr="005B25B5">
        <w:rPr>
          <w:color w:val="000000" w:themeColor="text1"/>
          <w:u w:color="000000" w:themeColor="text1"/>
        </w:rPr>
        <w:tab/>
      </w:r>
      <w:r>
        <w:rPr>
          <w:color w:val="000000" w:themeColor="text1"/>
          <w:u w:color="000000" w:themeColor="text1"/>
        </w:rPr>
        <w:t>‘</w:t>
      </w:r>
      <w:r w:rsidRPr="005B25B5">
        <w:rPr>
          <w:color w:val="000000" w:themeColor="text1"/>
          <w:u w:color="000000" w:themeColor="text1"/>
        </w:rPr>
        <w:t>Individualized education program</w:t>
      </w:r>
      <w:r>
        <w:rPr>
          <w:color w:val="000000" w:themeColor="text1"/>
          <w:u w:color="000000" w:themeColor="text1"/>
        </w:rPr>
        <w:t>’</w:t>
      </w:r>
      <w:r w:rsidRPr="005B25B5">
        <w:rPr>
          <w:color w:val="000000" w:themeColor="text1"/>
          <w:u w:color="000000" w:themeColor="text1"/>
        </w:rPr>
        <w:t xml:space="preserve"> means a written statement developed for a student eligible for special education services pursuant to Section 602(a)(20) of Part A of the Individuals with Disabilities Education Act, 20 U.S.C. Section 1401(a).</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t>Section 59</w:t>
      </w:r>
      <w:r>
        <w:rPr>
          <w:color w:val="000000" w:themeColor="text1"/>
          <w:u w:color="000000" w:themeColor="text1"/>
        </w:rPr>
        <w:noBreakHyphen/>
      </w:r>
      <w:r w:rsidRPr="005B25B5">
        <w:rPr>
          <w:color w:val="000000" w:themeColor="text1"/>
          <w:u w:color="000000" w:themeColor="text1"/>
        </w:rPr>
        <w:t>157</w:t>
      </w:r>
      <w:r>
        <w:rPr>
          <w:color w:val="000000" w:themeColor="text1"/>
          <w:u w:color="000000" w:themeColor="text1"/>
        </w:rPr>
        <w:noBreakHyphen/>
      </w:r>
      <w:r w:rsidRPr="005B25B5">
        <w:rPr>
          <w:color w:val="000000" w:themeColor="text1"/>
          <w:u w:color="000000" w:themeColor="text1"/>
        </w:rPr>
        <w:t>20.</w:t>
      </w:r>
      <w:r w:rsidRPr="005B25B5">
        <w:rPr>
          <w:color w:val="000000" w:themeColor="text1"/>
          <w:u w:color="000000" w:themeColor="text1"/>
        </w:rPr>
        <w:tab/>
        <w:t>In developing an individualized education program (IEP) for a child identified as deaf or hard</w:t>
      </w:r>
      <w:r>
        <w:rPr>
          <w:color w:val="000000" w:themeColor="text1"/>
          <w:u w:color="000000" w:themeColor="text1"/>
        </w:rPr>
        <w:noBreakHyphen/>
      </w:r>
      <w:r w:rsidRPr="005B25B5">
        <w:rPr>
          <w:color w:val="000000" w:themeColor="text1"/>
          <w:u w:color="000000" w:themeColor="text1"/>
        </w:rPr>
        <w:t>of</w:t>
      </w:r>
      <w:r>
        <w:rPr>
          <w:color w:val="000000" w:themeColor="text1"/>
          <w:u w:color="000000" w:themeColor="text1"/>
        </w:rPr>
        <w:noBreakHyphen/>
      </w:r>
      <w:r w:rsidRPr="005B25B5">
        <w:rPr>
          <w:color w:val="000000" w:themeColor="text1"/>
          <w:u w:color="000000" w:themeColor="text1"/>
        </w:rPr>
        <w:t>hearing, in addition to any other requirements established by the Department of Education, each local school district shall ensure that IEP teams consider the child</w:t>
      </w:r>
      <w:r>
        <w:rPr>
          <w:color w:val="000000" w:themeColor="text1"/>
          <w:u w:color="000000" w:themeColor="text1"/>
        </w:rPr>
        <w:t>’</w:t>
      </w:r>
      <w:r w:rsidRPr="005B25B5">
        <w:rPr>
          <w:color w:val="000000" w:themeColor="text1"/>
          <w:u w:color="000000" w:themeColor="text1"/>
        </w:rPr>
        <w:t>s specific communication needs and address those needs as appropriate in the child</w:t>
      </w:r>
      <w:r>
        <w:rPr>
          <w:color w:val="000000" w:themeColor="text1"/>
          <w:u w:color="000000" w:themeColor="text1"/>
        </w:rPr>
        <w:t>’</w:t>
      </w:r>
      <w:r w:rsidRPr="005B25B5">
        <w:rPr>
          <w:color w:val="000000" w:themeColor="text1"/>
          <w:u w:color="000000" w:themeColor="text1"/>
        </w:rPr>
        <w:t>s IEP. In considering the child</w:t>
      </w:r>
      <w:r>
        <w:rPr>
          <w:color w:val="000000" w:themeColor="text1"/>
          <w:u w:color="000000" w:themeColor="text1"/>
        </w:rPr>
        <w:t>’</w:t>
      </w:r>
      <w:r w:rsidRPr="005B25B5">
        <w:rPr>
          <w:color w:val="000000" w:themeColor="text1"/>
          <w:u w:color="000000" w:themeColor="text1"/>
        </w:rPr>
        <w:t>s needs, the IEP team shall consider:</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t>(1)</w:t>
      </w:r>
      <w:r w:rsidRPr="005B25B5">
        <w:rPr>
          <w:color w:val="000000" w:themeColor="text1"/>
          <w:u w:color="000000" w:themeColor="text1"/>
        </w:rPr>
        <w:tab/>
        <w:t>the child</w:t>
      </w:r>
      <w:r>
        <w:rPr>
          <w:color w:val="000000" w:themeColor="text1"/>
          <w:u w:color="000000" w:themeColor="text1"/>
        </w:rPr>
        <w:t>’</w:t>
      </w:r>
      <w:r w:rsidRPr="005B25B5">
        <w:rPr>
          <w:color w:val="000000" w:themeColor="text1"/>
          <w:u w:color="000000" w:themeColor="text1"/>
        </w:rPr>
        <w:t>s individual communication mode or language;</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t>(2)</w:t>
      </w:r>
      <w:r w:rsidRPr="005B25B5">
        <w:rPr>
          <w:color w:val="000000" w:themeColor="text1"/>
          <w:u w:color="000000" w:themeColor="text1"/>
        </w:rPr>
        <w:tab/>
        <w:t>the availability to the child of a sufficient number of age, cognitive, academic, and language peers of similar abilities if the parents so desire;</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t>(3)</w:t>
      </w:r>
      <w:r w:rsidRPr="005B25B5">
        <w:rPr>
          <w:color w:val="000000" w:themeColor="text1"/>
          <w:u w:color="000000" w:themeColor="text1"/>
        </w:rPr>
        <w:tab/>
        <w:t>the availability to the child of deaf or hard</w:t>
      </w:r>
      <w:r>
        <w:rPr>
          <w:color w:val="000000" w:themeColor="text1"/>
          <w:u w:color="000000" w:themeColor="text1"/>
        </w:rPr>
        <w:noBreakHyphen/>
      </w:r>
      <w:r w:rsidRPr="005B25B5">
        <w:rPr>
          <w:color w:val="000000" w:themeColor="text1"/>
          <w:u w:color="000000" w:themeColor="text1"/>
        </w:rPr>
        <w:t>of</w:t>
      </w:r>
      <w:r>
        <w:rPr>
          <w:color w:val="000000" w:themeColor="text1"/>
          <w:u w:color="000000" w:themeColor="text1"/>
        </w:rPr>
        <w:noBreakHyphen/>
      </w:r>
      <w:r w:rsidRPr="005B25B5">
        <w:rPr>
          <w:color w:val="000000" w:themeColor="text1"/>
          <w:u w:color="000000" w:themeColor="text1"/>
        </w:rPr>
        <w:t>hearing adult models of the child</w:t>
      </w:r>
      <w:r>
        <w:rPr>
          <w:color w:val="000000" w:themeColor="text1"/>
          <w:u w:color="000000" w:themeColor="text1"/>
        </w:rPr>
        <w:t>’</w:t>
      </w:r>
      <w:r w:rsidRPr="005B25B5">
        <w:rPr>
          <w:color w:val="000000" w:themeColor="text1"/>
          <w:u w:color="000000" w:themeColor="text1"/>
        </w:rPr>
        <w:t>s communication mode or language;</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t>(4)</w:t>
      </w:r>
      <w:r w:rsidRPr="005B25B5">
        <w:rPr>
          <w:color w:val="000000" w:themeColor="text1"/>
          <w:u w:color="000000" w:themeColor="text1"/>
        </w:rPr>
        <w:tab/>
        <w:t>the provision of direct and ongoing language access to teachers of the deaf and hard</w:t>
      </w:r>
      <w:r>
        <w:rPr>
          <w:color w:val="000000" w:themeColor="text1"/>
          <w:u w:color="000000" w:themeColor="text1"/>
        </w:rPr>
        <w:noBreakHyphen/>
      </w:r>
      <w:r w:rsidRPr="005B25B5">
        <w:rPr>
          <w:color w:val="000000" w:themeColor="text1"/>
          <w:u w:color="000000" w:themeColor="text1"/>
        </w:rPr>
        <w:t>of</w:t>
      </w:r>
      <w:r>
        <w:rPr>
          <w:color w:val="000000" w:themeColor="text1"/>
          <w:u w:color="000000" w:themeColor="text1"/>
        </w:rPr>
        <w:noBreakHyphen/>
      </w:r>
      <w:r w:rsidRPr="005B25B5">
        <w:rPr>
          <w:color w:val="000000" w:themeColor="text1"/>
          <w:u w:color="000000" w:themeColor="text1"/>
        </w:rPr>
        <w:t>hearing, interpreters, psychologists, educational audiologists, speech</w:t>
      </w:r>
      <w:r>
        <w:rPr>
          <w:color w:val="000000" w:themeColor="text1"/>
          <w:u w:color="000000" w:themeColor="text1"/>
        </w:rPr>
        <w:noBreakHyphen/>
      </w:r>
      <w:r w:rsidRPr="005B25B5">
        <w:rPr>
          <w:color w:val="000000" w:themeColor="text1"/>
          <w:u w:color="000000" w:themeColor="text1"/>
        </w:rPr>
        <w:t>language pathologists, administrators, and other special education personnel who are knowledgeable due to specific training and who are proficient in the child</w:t>
      </w:r>
      <w:r>
        <w:rPr>
          <w:color w:val="000000" w:themeColor="text1"/>
          <w:u w:color="000000" w:themeColor="text1"/>
        </w:rPr>
        <w:t>’</w:t>
      </w:r>
      <w:r w:rsidRPr="005B25B5">
        <w:rPr>
          <w:color w:val="000000" w:themeColor="text1"/>
          <w:u w:color="000000" w:themeColor="text1"/>
        </w:rPr>
        <w:t>s primary communication mode or language;</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t>(5)</w:t>
      </w:r>
      <w:r w:rsidRPr="005B25B5">
        <w:rPr>
          <w:color w:val="000000" w:themeColor="text1"/>
          <w:u w:color="000000" w:themeColor="text1"/>
        </w:rPr>
        <w:tab/>
        <w:t>the provision of communication</w:t>
      </w:r>
      <w:r>
        <w:rPr>
          <w:color w:val="000000" w:themeColor="text1"/>
          <w:u w:color="000000" w:themeColor="text1"/>
        </w:rPr>
        <w:noBreakHyphen/>
      </w:r>
      <w:r w:rsidRPr="005B25B5">
        <w:rPr>
          <w:color w:val="000000" w:themeColor="text1"/>
          <w:u w:color="000000" w:themeColor="text1"/>
        </w:rPr>
        <w:t>accessible academic instruction, school services, and direct access to all components of the educational process, including recess, lunch, extracurricular social and athletic activities, and the equal opportunity to participate in advanced coursework, technical vocational coursework, and academic classes as identified by the IEP team;</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t>(6)</w:t>
      </w:r>
      <w:r w:rsidRPr="005B25B5">
        <w:rPr>
          <w:color w:val="000000" w:themeColor="text1"/>
          <w:u w:color="000000" w:themeColor="text1"/>
        </w:rPr>
        <w:tab/>
        <w:t>equipping children identified as deaf or hard</w:t>
      </w:r>
      <w:r>
        <w:rPr>
          <w:color w:val="000000" w:themeColor="text1"/>
          <w:u w:color="000000" w:themeColor="text1"/>
        </w:rPr>
        <w:noBreakHyphen/>
      </w:r>
      <w:r w:rsidRPr="005B25B5">
        <w:rPr>
          <w:color w:val="000000" w:themeColor="text1"/>
          <w:u w:color="000000" w:themeColor="text1"/>
        </w:rPr>
        <w:t>of</w:t>
      </w:r>
      <w:r>
        <w:rPr>
          <w:color w:val="000000" w:themeColor="text1"/>
          <w:u w:color="000000" w:themeColor="text1"/>
        </w:rPr>
        <w:noBreakHyphen/>
      </w:r>
      <w:r w:rsidRPr="005B25B5">
        <w:rPr>
          <w:color w:val="000000" w:themeColor="text1"/>
          <w:u w:color="000000" w:themeColor="text1"/>
        </w:rPr>
        <w:t xml:space="preserve">hearing with appropriate assistive technology across a full spectrum; and </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t>(7)</w:t>
      </w:r>
      <w:r w:rsidRPr="005B25B5">
        <w:rPr>
          <w:color w:val="000000" w:themeColor="text1"/>
          <w:u w:color="000000" w:themeColor="text1"/>
        </w:rPr>
        <w:tab/>
        <w:t>that the South Carolina School for the Deaf and the Blind may be the least restrictive environment for the child.</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t>Section 59</w:t>
      </w:r>
      <w:r>
        <w:rPr>
          <w:color w:val="000000" w:themeColor="text1"/>
          <w:u w:color="000000" w:themeColor="text1"/>
        </w:rPr>
        <w:noBreakHyphen/>
      </w:r>
      <w:r w:rsidRPr="005B25B5">
        <w:rPr>
          <w:color w:val="000000" w:themeColor="text1"/>
          <w:u w:color="000000" w:themeColor="text1"/>
        </w:rPr>
        <w:t>157</w:t>
      </w:r>
      <w:r>
        <w:rPr>
          <w:color w:val="000000" w:themeColor="text1"/>
          <w:u w:color="000000" w:themeColor="text1"/>
        </w:rPr>
        <w:noBreakHyphen/>
      </w:r>
      <w:r w:rsidRPr="005B25B5">
        <w:rPr>
          <w:color w:val="000000" w:themeColor="text1"/>
          <w:u w:color="000000" w:themeColor="text1"/>
        </w:rPr>
        <w:t>30.</w:t>
      </w:r>
      <w:r w:rsidRPr="005B25B5">
        <w:rPr>
          <w:color w:val="000000" w:themeColor="text1"/>
          <w:u w:color="000000" w:themeColor="text1"/>
        </w:rPr>
        <w:tab/>
        <w:t>A child identified as deaf or hard</w:t>
      </w:r>
      <w:r>
        <w:rPr>
          <w:color w:val="000000" w:themeColor="text1"/>
          <w:u w:color="000000" w:themeColor="text1"/>
        </w:rPr>
        <w:noBreakHyphen/>
      </w:r>
      <w:r w:rsidRPr="005B25B5">
        <w:rPr>
          <w:color w:val="000000" w:themeColor="text1"/>
          <w:u w:color="000000" w:themeColor="text1"/>
        </w:rPr>
        <w:t>of</w:t>
      </w:r>
      <w:r>
        <w:rPr>
          <w:color w:val="000000" w:themeColor="text1"/>
          <w:u w:color="000000" w:themeColor="text1"/>
        </w:rPr>
        <w:noBreakHyphen/>
      </w:r>
      <w:r w:rsidRPr="005B25B5">
        <w:rPr>
          <w:color w:val="000000" w:themeColor="text1"/>
          <w:u w:color="000000" w:themeColor="text1"/>
        </w:rPr>
        <w:t>hearing may not be denied the opportunity for instruction in a particular communication mode or language because another communication mode or language was originally chosen for the child.</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8AB"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25B5">
        <w:rPr>
          <w:color w:val="000000" w:themeColor="text1"/>
          <w:u w:color="000000" w:themeColor="text1"/>
        </w:rPr>
        <w:lastRenderedPageBreak/>
        <w:tab/>
        <w:t>Section 59</w:t>
      </w:r>
      <w:r>
        <w:rPr>
          <w:color w:val="000000" w:themeColor="text1"/>
          <w:u w:color="000000" w:themeColor="text1"/>
        </w:rPr>
        <w:noBreakHyphen/>
      </w:r>
      <w:r w:rsidRPr="005B25B5">
        <w:rPr>
          <w:color w:val="000000" w:themeColor="text1"/>
          <w:u w:color="000000" w:themeColor="text1"/>
        </w:rPr>
        <w:t>157</w:t>
      </w:r>
      <w:r>
        <w:rPr>
          <w:color w:val="000000" w:themeColor="text1"/>
          <w:u w:color="000000" w:themeColor="text1"/>
        </w:rPr>
        <w:noBreakHyphen/>
      </w:r>
      <w:r w:rsidRPr="005B25B5">
        <w:rPr>
          <w:color w:val="000000" w:themeColor="text1"/>
          <w:u w:color="000000" w:themeColor="text1"/>
        </w:rPr>
        <w:t>40.</w:t>
      </w:r>
      <w:r w:rsidRPr="005B25B5">
        <w:rPr>
          <w:color w:val="000000" w:themeColor="text1"/>
          <w:u w:color="000000" w:themeColor="text1"/>
        </w:rPr>
        <w:tab/>
        <w:t>A child may receive instruction in more than one communication mode or language.”</w:t>
      </w:r>
    </w:p>
    <w:p w:rsidR="00AE28AB" w:rsidRDefault="00AE2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8D6" w:rsidRDefault="009A68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28AB">
        <w:t>2</w:t>
      </w:r>
      <w:r>
        <w:t>.</w:t>
      </w:r>
      <w:r>
        <w:tab/>
        <w:t>This act takes effect upon approval by the Governor.</w:t>
      </w:r>
    </w:p>
    <w:p w:rsidR="002D7BC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1072" w:rsidRDefault="00B41072" w:rsidP="00B41072">
      <w:pPr>
        <w:suppressAutoHyphens/>
      </w:pPr>
    </w:p>
    <w:sectPr w:rsidR="00B41072" w:rsidSect="00B410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68D6" w:rsidRDefault="009A68D6" w:rsidP="009F0C77">
      <w:r>
        <w:separator/>
      </w:r>
    </w:p>
  </w:endnote>
  <w:endnote w:type="continuationSeparator" w:id="0">
    <w:p w:rsidR="009A68D6" w:rsidRDefault="009A68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BB407E-3875-4CD3-856A-F8B669721356}"/>
    <w:embedBold r:id="rId2" w:fontKey="{5F305CF0-9E8E-42D4-B2DD-5BBAB59F86D1}"/>
  </w:font>
  <w:font w:name="Calibri">
    <w:panose1 w:val="020F0502020204030204"/>
    <w:charset w:val="00"/>
    <w:family w:val="swiss"/>
    <w:pitch w:val="variable"/>
    <w:sig w:usb0="E4002EFF" w:usb1="C000247B" w:usb2="00000009" w:usb3="00000000" w:csb0="000001FF" w:csb1="00000000"/>
    <w:embedRegular r:id="rId3" w:fontKey="{5464FA8A-6883-48F5-A81E-3105941739A8}"/>
  </w:font>
  <w:font w:name="Cambria">
    <w:panose1 w:val="02040503050406030204"/>
    <w:charset w:val="00"/>
    <w:family w:val="roman"/>
    <w:pitch w:val="variable"/>
    <w:sig w:usb0="E00006FF" w:usb1="420024FF" w:usb2="02000000" w:usb3="00000000" w:csb0="0000019F" w:csb1="00000000"/>
    <w:embedRegular r:id="rId4" w:fontKey="{D2FC378C-9F1D-43AF-BB0B-F512259C16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BC8" w:rsidRPr="00B41072" w:rsidRDefault="00B41072" w:rsidP="00B41072">
    <w:pPr>
      <w:pStyle w:val="Footer"/>
      <w:tabs>
        <w:tab w:val="clear" w:pos="4680"/>
        <w:tab w:val="clear" w:pos="9360"/>
        <w:tab w:val="center" w:pos="2995"/>
      </w:tabs>
      <w:spacing w:before="120"/>
    </w:pPr>
    <w:r>
      <w:t>[4553]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68D6" w:rsidRDefault="009A68D6" w:rsidP="009F0C77">
      <w:r>
        <w:separator/>
      </w:r>
    </w:p>
  </w:footnote>
  <w:footnote w:type="continuationSeparator" w:id="0">
    <w:p w:rsidR="009A68D6" w:rsidRDefault="009A68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97SA22"/>
    <w:docVar w:name="CoverBillType" w:val="b"/>
    <w:docVar w:name="DocPath" w:val="L:\Council\bills\CC\16097SA22.DOCX"/>
    <w:docVar w:name="dvBillNumber" w:val="4553"/>
    <w:docVar w:name="dvBillNumberPrefix" w:val="H. "/>
    <w:docVar w:name="dvOriginalBody" w:val="House"/>
    <w:docVar w:name="dvSteno" w:val="CC"/>
    <w:docVar w:name="NameofBody" w:val="h"/>
    <w:docVar w:name="vGroup2" w:val="Council"/>
  </w:docVars>
  <w:rsids>
    <w:rsidRoot w:val="009A68D6"/>
    <w:rsid w:val="00011869"/>
    <w:rsid w:val="00015CD6"/>
    <w:rsid w:val="000C31C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7BC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A68D6"/>
    <w:rsid w:val="009B44AF"/>
    <w:rsid w:val="009C6A0B"/>
    <w:rsid w:val="009F0C77"/>
    <w:rsid w:val="009F4DD1"/>
    <w:rsid w:val="00A02543"/>
    <w:rsid w:val="00A24B4B"/>
    <w:rsid w:val="00A41684"/>
    <w:rsid w:val="00A64E80"/>
    <w:rsid w:val="00A72BCD"/>
    <w:rsid w:val="00A741D9"/>
    <w:rsid w:val="00A833AB"/>
    <w:rsid w:val="00A9741D"/>
    <w:rsid w:val="00AC34A2"/>
    <w:rsid w:val="00AD1C9A"/>
    <w:rsid w:val="00AD4B17"/>
    <w:rsid w:val="00AE28AB"/>
    <w:rsid w:val="00B41072"/>
    <w:rsid w:val="00B412D4"/>
    <w:rsid w:val="00B64FFF"/>
    <w:rsid w:val="00BE3C22"/>
    <w:rsid w:val="00C0345E"/>
    <w:rsid w:val="00C21ABE"/>
    <w:rsid w:val="00C24DD1"/>
    <w:rsid w:val="00C31C95"/>
    <w:rsid w:val="00C3483A"/>
    <w:rsid w:val="00C74E9D"/>
    <w:rsid w:val="00C826DD"/>
    <w:rsid w:val="00C82FD3"/>
    <w:rsid w:val="00C92819"/>
    <w:rsid w:val="00CC6B7B"/>
    <w:rsid w:val="00CD2089"/>
    <w:rsid w:val="00D550A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3E290F-C373-431C-B808-78489BC40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31C72-6AE3-4984-9A3D-29A4BCB66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550</Words>
  <Characters>3169</Characters>
  <Application>Microsoft Office Word</Application>
  <DocSecurity>0</DocSecurity>
  <Lines>88</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4553 Text of Previous Version (Nov. 10, 2021) - South Carolina Legislature Online</dc:title>
  <dc:creator>Bonnie Huth</dc:creator>
  <cp:lastModifiedBy>S Wilson</cp:lastModifiedBy>
  <cp:revision>2</cp:revision>
  <dcterms:created xsi:type="dcterms:W3CDTF">2021-11-10T19:21:00Z</dcterms:created>
  <dcterms:modified xsi:type="dcterms:W3CDTF">2021-11-10T19:21:00Z</dcterms:modified>
</cp:coreProperties>
</file>