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2022</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Pr="008C0FEA" w:rsidRDefault="008C0FEA" w:rsidP="008C0FEA">
      <w:pPr>
        <w:tabs>
          <w:tab w:val="right" w:pos="5933"/>
        </w:tabs>
        <w:suppressAutoHyphens/>
        <w:jc w:val="both"/>
        <w:rPr>
          <w:rFonts w:eastAsia="Times New Roman"/>
        </w:rPr>
      </w:pPr>
      <w:r>
        <w:rPr>
          <w:rFonts w:eastAsia="Times New Roman"/>
        </w:rPr>
        <w:tab/>
      </w:r>
      <w:r>
        <w:rPr>
          <w:rFonts w:eastAsia="Times New Roman"/>
          <w:b/>
          <w:sz w:val="36"/>
        </w:rPr>
        <w:t>S. 458</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Talley, Bennett, Senn and Alexander</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2/23/22--S.</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rsidR="008C0FEA" w:rsidRP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P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458) </w:t>
      </w:r>
      <w:r>
        <w:rPr>
          <w:color w:val="000000" w:themeColor="text1"/>
          <w:u w:color="000000" w:themeColor="text1"/>
        </w:rPr>
        <w:t>to amend S</w:t>
      </w:r>
      <w:r w:rsidRPr="008C0FEA">
        <w:rPr>
          <w:color w:val="000000" w:themeColor="text1"/>
          <w:u w:color="000000" w:themeColor="text1"/>
        </w:rPr>
        <w:t>ections 44-53-190(b</w:t>
      </w:r>
      <w:r>
        <w:rPr>
          <w:color w:val="000000" w:themeColor="text1"/>
          <w:u w:color="000000" w:themeColor="text1"/>
        </w:rPr>
        <w:t>) and 44</w:t>
      </w:r>
      <w:r>
        <w:rPr>
          <w:color w:val="000000" w:themeColor="text1"/>
          <w:u w:color="000000" w:themeColor="text1"/>
        </w:rPr>
        <w:noBreakHyphen/>
        <w:t>53</w:t>
      </w:r>
      <w:r>
        <w:rPr>
          <w:color w:val="000000" w:themeColor="text1"/>
          <w:u w:color="000000" w:themeColor="text1"/>
        </w:rPr>
        <w:noBreakHyphen/>
        <w:t>370(e) of the 1976 C</w:t>
      </w:r>
      <w:r w:rsidRPr="008C0FEA">
        <w:rPr>
          <w:color w:val="000000" w:themeColor="text1"/>
          <w:u w:color="000000" w:themeColor="text1"/>
        </w:rPr>
        <w:t>ode, relating in part to the trafficking offenses for</w:t>
      </w:r>
      <w:r>
        <w:rPr>
          <w:rFonts w:eastAsia="Times New Roman"/>
        </w:rPr>
        <w:t>, etc., respectfully</w:t>
      </w:r>
    </w:p>
    <w:p w:rsidR="008C0FEA" w:rsidRP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Pr="001278A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1278AE">
        <w:rPr>
          <w:rFonts w:eastAsia="Times New Roman"/>
          <w:snapToGrid w:val="0"/>
          <w:szCs w:val="20"/>
        </w:rPr>
        <w:t>Amend the bill, as and if amended, page 2, by striking lines 28 through 35, and inserting therein:</w:t>
      </w:r>
    </w:p>
    <w:p w:rsidR="008C0FEA" w:rsidRPr="001278A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78AE">
        <w:rPr>
          <w:rFonts w:eastAsia="Times New Roman"/>
          <w:snapToGrid w:val="0"/>
          <w:szCs w:val="20"/>
        </w:rPr>
        <w:tab/>
        <w:t>/</w:t>
      </w:r>
      <w:r w:rsidRPr="001278AE">
        <w:rPr>
          <w:rFonts w:eastAsia="Times New Roman"/>
          <w:snapToGrid w:val="0"/>
          <w:szCs w:val="20"/>
        </w:rPr>
        <w:tab/>
      </w:r>
      <w:r w:rsidRPr="001278AE">
        <w:rPr>
          <w:rFonts w:eastAsia="Times New Roman"/>
          <w:snapToGrid w:val="0"/>
          <w:szCs w:val="20"/>
        </w:rPr>
        <w:tab/>
        <w:t>granted, and a fine of fifty thousand dollars; or</w:t>
      </w:r>
    </w:p>
    <w:p w:rsidR="008C0FEA" w:rsidRPr="001278A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278AE">
        <w:rPr>
          <w:rFonts w:eastAsia="Times New Roman"/>
          <w:snapToGrid w:val="0"/>
          <w:szCs w:val="20"/>
        </w:rPr>
        <w:tab/>
      </w:r>
      <w:r w:rsidRPr="001278AE">
        <w:rPr>
          <w:rFonts w:eastAsia="Times New Roman"/>
          <w:snapToGrid w:val="0"/>
          <w:szCs w:val="20"/>
        </w:rPr>
        <w:tab/>
        <w:t>(b)</w:t>
      </w:r>
      <w:r w:rsidRPr="001278AE">
        <w:rPr>
          <w:rFonts w:eastAsia="Times New Roman"/>
          <w:snapToGrid w:val="0"/>
          <w:szCs w:val="20"/>
        </w:rPr>
        <w:tab/>
        <w:t>for a second or subsequent offense, a term of imprisonment of not more than thirty years, no part of which may be suspended or probation granted, and a fine of one hundred thousand dollars.”</w:t>
      </w:r>
      <w:r w:rsidRPr="001278AE">
        <w:rPr>
          <w:rFonts w:eastAsia="Times New Roman"/>
          <w:snapToGrid w:val="0"/>
          <w:szCs w:val="20"/>
        </w:rPr>
        <w:tab/>
      </w:r>
      <w:r w:rsidRPr="001278AE">
        <w:rPr>
          <w:rFonts w:eastAsia="Times New Roman"/>
          <w:snapToGrid w:val="0"/>
          <w:szCs w:val="20"/>
        </w:rPr>
        <w:tab/>
      </w:r>
      <w:r w:rsidRPr="001278AE">
        <w:rPr>
          <w:rFonts w:eastAsia="Times New Roman"/>
          <w:snapToGrid w:val="0"/>
          <w:szCs w:val="20"/>
        </w:rPr>
        <w:tab/>
      </w:r>
      <w:r w:rsidRPr="001278AE">
        <w:rPr>
          <w:u w:color="000000" w:themeColor="text1"/>
        </w:rPr>
        <w:t>/</w:t>
      </w:r>
    </w:p>
    <w:p w:rsidR="008C0FEA" w:rsidRPr="001278A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78AE">
        <w:rPr>
          <w:rFonts w:eastAsia="Times New Roman"/>
          <w:snapToGrid w:val="0"/>
          <w:szCs w:val="20"/>
        </w:rPr>
        <w:tab/>
        <w:t>Renumber sections to conform.</w:t>
      </w:r>
    </w:p>
    <w:p w:rsid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278AE">
        <w:rPr>
          <w:rFonts w:eastAsia="Times New Roman"/>
          <w:snapToGrid w:val="0"/>
          <w:szCs w:val="20"/>
        </w:rPr>
        <w:tab/>
        <w:t>Amend title to conform.</w:t>
      </w:r>
    </w:p>
    <w:p w:rsidR="008C0FEA" w:rsidRPr="001278A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C0FEA" w:rsidRP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P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C0FEA" w:rsidRPr="00F2511E" w:rsidRDefault="008C0FEA" w:rsidP="008C0FEA">
      <w:pPr>
        <w:rPr>
          <w:b/>
          <w:bCs/>
        </w:rPr>
      </w:pPr>
      <w:r w:rsidRPr="00F2511E">
        <w:rPr>
          <w:b/>
          <w:bCs/>
        </w:rPr>
        <w:t>Explanation of Fiscal Impact</w:t>
      </w:r>
    </w:p>
    <w:p w:rsidR="008C0FEA" w:rsidRPr="00F2511E" w:rsidRDefault="008C0FEA" w:rsidP="008C0FEA">
      <w:pPr>
        <w:rPr>
          <w:b/>
          <w:bCs/>
        </w:rPr>
      </w:pPr>
      <w:r w:rsidRPr="00F2511E">
        <w:rPr>
          <w:b/>
          <w:bCs/>
        </w:rPr>
        <w:t>Introduced on January 13, 2021</w:t>
      </w:r>
    </w:p>
    <w:p w:rsidR="008C0FEA" w:rsidRPr="00F2511E" w:rsidRDefault="008C0FEA" w:rsidP="008C0FEA">
      <w:pPr>
        <w:rPr>
          <w:b/>
        </w:rPr>
      </w:pPr>
      <w:r w:rsidRPr="00F2511E">
        <w:rPr>
          <w:b/>
        </w:rPr>
        <w:t>State Expenditure</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511E">
        <w:t xml:space="preserve">This bill creates the felony offense of trafficking in fentanyl or fentanyl-related substances and adds those substances to the list of Schedule I controlled substances.  Possession of four grams or more of fentanyl or any mixture containing fentanyl or a fentanyl-related substance is considered trafficking.  A first offense is </w:t>
      </w:r>
      <w:r w:rsidRPr="00F2511E">
        <w:lastRenderedPageBreak/>
        <w:t xml:space="preserve">punishable by imprisonment for not more than twenty years and a fine of up to $50,000.  A second or subsequent offense is punishable by imprisonment for not more than thirty years and a fine of up to $100,000.  An additional term of imprisonment up to twenty years, to run consecutively to the sentence assigned for the original conviction, must be served when the offense results in a fatal overdose. </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511E">
        <w:rPr>
          <w:b/>
        </w:rPr>
        <w:t>Judicial.</w:t>
      </w:r>
      <w:r w:rsidRPr="00F2511E">
        <w:t xml:space="preserve">  This bill creates a new offense and there is no data available with which to estimate the number of hearings or trials that may be initiated in general sessions as a result of this legislation.  Judicial anticipates that any impact from the increased caseload in general sessions would be absorbed.  Therefore, this bill will have no expenditure impact.</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511E">
        <w:rPr>
          <w:b/>
        </w:rPr>
        <w:t>Commission on Prosecution Coordination.</w:t>
      </w:r>
      <w:r w:rsidRPr="00F2511E">
        <w:t xml:space="preserve">  The bill requires the agency to perform activities that will be conducted in the normal course of agency business.  As a result, this bill does not have an expenditure impact.</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511E">
        <w:rPr>
          <w:b/>
        </w:rPr>
        <w:t>Commission on Indigent Defense.</w:t>
      </w:r>
      <w:r w:rsidRPr="00F2511E">
        <w:t xml:space="preserve">  The bill requires the agency to perform activities that will be conducted in the normal course of agency business.  As a result, this bill does not have an expenditure impact.</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511E">
        <w:rPr>
          <w:b/>
        </w:rPr>
        <w:t>Department of Juvenile Justice.</w:t>
      </w:r>
      <w:r w:rsidRPr="00F2511E">
        <w:t xml:space="preserve">  The bill requires the agency to perform activities that will be conducted in the normal course of agency business.  As a result, this bill does not have an expenditure impact.</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2511E">
        <w:rPr>
          <w:b/>
        </w:rPr>
        <w:t xml:space="preserve">Department of Corrections.  </w:t>
      </w:r>
      <w:r w:rsidRPr="00F2511E">
        <w:t>A determination of the bill’s fiscal impact is pending, as the agency is still reviewing the bill.</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511E">
        <w:rPr>
          <w:b/>
          <w:bCs/>
        </w:rPr>
        <w:t>State Revenue</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511E">
        <w:t>The bill creates new fines of up to $100,000 for offenses related to trafficking in fentanyl.  South Carolina law states that the revenue collected from any fines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As there is no data to estimate the amount of revenue that may be generated from the new fines, any state or local revenue generated is undetermined.</w:t>
      </w:r>
    </w:p>
    <w:p w:rsidR="008C0FEA" w:rsidRPr="00F2511E"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2511E">
        <w:rPr>
          <w:b/>
          <w:bCs/>
        </w:rPr>
        <w:t>Local Revenue</w:t>
      </w:r>
    </w:p>
    <w:p w:rsidR="008C0FEA" w:rsidRPr="00B77D85"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2511E">
        <w:t>The bill creates new fines of up to $100,000 for offenses related to trafficking in fentanyl.  South Carolina law states that the revenue collected from any fines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As there is no data to estimate the amount of revenue that may be generated from the new fines, any state or local revenue generated is undetermined.</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C0FEA" w:rsidRP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FEA" w:rsidSect="008C0FE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622D" w:rsidRPr="00522CE0" w:rsidRDefault="00A5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143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SECTIONS 44-53-190</w:t>
      </w:r>
      <w:r w:rsidR="00BD1900">
        <w:rPr>
          <w:color w:val="000000" w:themeColor="text1"/>
          <w:u w:color="000000" w:themeColor="text1"/>
        </w:rPr>
        <w:t>(B)</w:t>
      </w:r>
      <w:r>
        <w:rPr>
          <w:color w:val="000000" w:themeColor="text1"/>
          <w:u w:color="000000" w:themeColor="text1"/>
        </w:rPr>
        <w:t xml:space="preserve"> AND </w:t>
      </w:r>
      <w:r w:rsidRPr="001C3F43">
        <w:rPr>
          <w:color w:val="000000" w:themeColor="text1"/>
          <w:u w:color="000000" w:themeColor="text1"/>
        </w:rPr>
        <w:t>44</w:t>
      </w:r>
      <w:r w:rsidR="0066576A">
        <w:rPr>
          <w:color w:val="000000" w:themeColor="text1"/>
          <w:u w:color="000000" w:themeColor="text1"/>
        </w:rPr>
        <w:noBreakHyphen/>
      </w:r>
      <w:r w:rsidRPr="001C3F43">
        <w:rPr>
          <w:color w:val="000000" w:themeColor="text1"/>
          <w:u w:color="000000" w:themeColor="text1"/>
        </w:rPr>
        <w:t>53</w:t>
      </w:r>
      <w:r w:rsidR="0066576A">
        <w:rPr>
          <w:color w:val="000000" w:themeColor="text1"/>
          <w:u w:color="000000" w:themeColor="text1"/>
        </w:rPr>
        <w:noBreakHyphen/>
      </w:r>
      <w:r w:rsidRPr="001C3F43">
        <w:rPr>
          <w:color w:val="000000" w:themeColor="text1"/>
          <w:u w:color="000000" w:themeColor="text1"/>
        </w:rPr>
        <w:t>370</w:t>
      </w:r>
      <w:r w:rsidR="00BD1900">
        <w:rPr>
          <w:color w:val="000000" w:themeColor="text1"/>
          <w:u w:color="000000" w:themeColor="text1"/>
        </w:rPr>
        <w:t>(e)</w:t>
      </w:r>
      <w:r w:rsidR="00941A34">
        <w:rPr>
          <w:color w:val="000000" w:themeColor="text1"/>
          <w:u w:color="000000" w:themeColor="text1"/>
        </w:rPr>
        <w:t xml:space="preserve"> </w:t>
      </w:r>
      <w:r w:rsidR="008C6F6D">
        <w:rPr>
          <w:color w:val="000000" w:themeColor="text1"/>
          <w:u w:color="000000" w:themeColor="text1"/>
        </w:rPr>
        <w:t>OF THE 1976</w:t>
      </w:r>
      <w:r w:rsidR="00BD1900">
        <w:rPr>
          <w:color w:val="000000" w:themeColor="text1"/>
          <w:u w:color="000000" w:themeColor="text1"/>
        </w:rPr>
        <w:t xml:space="preserve"> CODE</w:t>
      </w:r>
      <w:r w:rsidR="008C6F6D">
        <w:rPr>
          <w:color w:val="000000" w:themeColor="text1"/>
          <w:u w:color="000000" w:themeColor="text1"/>
        </w:rPr>
        <w:t xml:space="preserve">, </w:t>
      </w:r>
      <w:r w:rsidRPr="001C3F43">
        <w:rPr>
          <w:color w:val="000000" w:themeColor="text1"/>
          <w:u w:color="000000" w:themeColor="text1"/>
        </w:rPr>
        <w:t>RELATING IN PART TO THE TRAFFICKING OFFENSES FOR</w:t>
      </w:r>
      <w:r w:rsidR="008C6F6D">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sidR="00BD1900">
        <w:rPr>
          <w:color w:val="000000" w:themeColor="text1"/>
          <w:u w:color="000000" w:themeColor="text1"/>
        </w:rPr>
        <w:t>, AND TO DEFINE NECESSARY TERMS</w:t>
      </w:r>
      <w:r w:rsidRPr="001C3F43">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AED" w:rsidRDefault="00891434"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562AED" w:rsidRPr="008E4FE3">
        <w:rPr>
          <w:u w:color="000000" w:themeColor="text1"/>
        </w:rPr>
        <w:t>Section 44</w:t>
      </w:r>
      <w:r w:rsidR="0066576A">
        <w:rPr>
          <w:u w:color="000000" w:themeColor="text1"/>
        </w:rPr>
        <w:noBreakHyphen/>
      </w:r>
      <w:r w:rsidR="00562AED" w:rsidRPr="008E4FE3">
        <w:rPr>
          <w:u w:color="000000" w:themeColor="text1"/>
        </w:rPr>
        <w:t>53</w:t>
      </w:r>
      <w:r w:rsidR="0066576A">
        <w:rPr>
          <w:u w:color="000000" w:themeColor="text1"/>
        </w:rPr>
        <w:noBreakHyphen/>
      </w:r>
      <w:r w:rsidR="00562AED" w:rsidRPr="008E4FE3">
        <w:rPr>
          <w:u w:color="000000" w:themeColor="text1"/>
        </w:rPr>
        <w:t>190(B) of the 1976 Code is amended by adding an appropriately numbered</w:t>
      </w:r>
      <w:r w:rsidR="00BD1900">
        <w:rPr>
          <w:u w:color="000000" w:themeColor="text1"/>
        </w:rPr>
        <w:t xml:space="preserve"> new</w:t>
      </w:r>
      <w:r w:rsidR="00562AED" w:rsidRPr="008E4FE3">
        <w:rPr>
          <w:u w:color="000000" w:themeColor="text1"/>
        </w:rPr>
        <w:t xml:space="preserve"> item at the end to read:</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sidR="0066576A">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e.</w:t>
      </w:r>
      <w:r>
        <w:rPr>
          <w:u w:color="000000" w:themeColor="text1"/>
        </w:rPr>
        <w:tab/>
      </w:r>
      <w:r>
        <w:rPr>
          <w:u w:color="000000" w:themeColor="text1"/>
        </w:rPr>
        <w:tab/>
      </w:r>
      <w:r w:rsidRPr="008E4FE3">
        <w:rPr>
          <w:u w:color="000000" w:themeColor="text1"/>
        </w:rPr>
        <w:t>replacement of the N</w:t>
      </w:r>
      <w:r w:rsidR="0066576A">
        <w:rPr>
          <w:u w:color="000000" w:themeColor="text1"/>
        </w:rPr>
        <w:noBreakHyphen/>
      </w:r>
      <w:r w:rsidRPr="008E4FE3">
        <w:rPr>
          <w:u w:color="000000" w:themeColor="text1"/>
        </w:rPr>
        <w:t>propionyl group by another acyl group.</w:t>
      </w:r>
    </w:p>
    <w:p w:rsidR="00F7191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lastRenderedPageBreak/>
        <w:tab/>
        <w:t>This definition includes, but is not limited to, the following substances:</w:t>
      </w:r>
      <w:r>
        <w:rPr>
          <w:u w:color="000000" w:themeColor="text1"/>
        </w:rPr>
        <w:tab/>
      </w:r>
      <w:r w:rsidRPr="008E4FE3">
        <w:rPr>
          <w:u w:color="000000" w:themeColor="text1"/>
        </w:rPr>
        <w:t>Methylacetyl fentanyl, Alpha</w:t>
      </w:r>
      <w:r w:rsidR="0066576A">
        <w:rPr>
          <w:u w:color="000000" w:themeColor="text1"/>
        </w:rPr>
        <w:noBreakHyphen/>
      </w:r>
      <w:r w:rsidRPr="008E4FE3">
        <w:rPr>
          <w:u w:color="000000" w:themeColor="text1"/>
        </w:rPr>
        <w:t>methylfentanyl,  Methylthiofentanyl, Benzylfentanyl, Beta</w:t>
      </w:r>
      <w:r w:rsidR="0066576A">
        <w:rPr>
          <w:u w:color="000000" w:themeColor="text1"/>
        </w:rPr>
        <w:noBreakHyphen/>
      </w:r>
      <w:r w:rsidRPr="008E4FE3">
        <w:rPr>
          <w:u w:color="000000" w:themeColor="text1"/>
        </w:rPr>
        <w:t>hydroxyfentanyl, Beta</w:t>
      </w:r>
      <w:r w:rsidR="0066576A">
        <w:rPr>
          <w:u w:color="000000" w:themeColor="text1"/>
        </w:rPr>
        <w:noBreakHyphen/>
      </w:r>
      <w:r w:rsidRPr="008E4FE3">
        <w:rPr>
          <w:u w:color="000000" w:themeColor="text1"/>
        </w:rPr>
        <w:t>hydroxy</w:t>
      </w:r>
      <w:r w:rsidR="0066576A">
        <w:rPr>
          <w:u w:color="000000" w:themeColor="text1"/>
        </w:rPr>
        <w:noBreakHyphen/>
      </w:r>
      <w:r w:rsidRPr="008E4FE3">
        <w:rPr>
          <w:u w:color="000000" w:themeColor="text1"/>
        </w:rPr>
        <w:t>3</w:t>
      </w:r>
      <w:r w:rsidR="0066576A">
        <w:rPr>
          <w:u w:color="000000" w:themeColor="text1"/>
        </w:rPr>
        <w:noBreakHyphen/>
      </w:r>
      <w:r w:rsidRPr="008E4FE3">
        <w:rPr>
          <w:u w:color="000000" w:themeColor="text1"/>
        </w:rPr>
        <w:t>methylfentanyl, 3</w:t>
      </w:r>
      <w:r w:rsidR="0066576A">
        <w:rPr>
          <w:u w:color="000000" w:themeColor="text1"/>
        </w:rPr>
        <w:noBreakHyphen/>
      </w:r>
      <w:r w:rsidRPr="008E4FE3">
        <w:rPr>
          <w:u w:color="000000" w:themeColor="text1"/>
        </w:rPr>
        <w:t>Methylfentanyl,  Methylthiofentanyl, Fluorofentanyl, Thenylfentanyl or Thienyl fentanyl, Thiofentanyl, Acetylfentanyl, Butyrylfentanyl, Beta</w:t>
      </w:r>
      <w:r w:rsidR="0066576A">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F7191D" w:rsidRDefault="00F7191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370(e) of the 1976 Code is amended by adding an appropriately numbered</w:t>
      </w:r>
      <w:r w:rsidR="00BD1900">
        <w:rPr>
          <w:u w:color="000000" w:themeColor="text1"/>
        </w:rPr>
        <w:t xml:space="preserve"> new</w:t>
      </w:r>
      <w:r w:rsidRPr="008E4FE3">
        <w:rPr>
          <w:u w:color="000000" w:themeColor="text1"/>
        </w:rPr>
        <w:t xml:space="preserve"> item at the end to read:</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sidR="0066576A">
        <w:rPr>
          <w:u w:color="000000" w:themeColor="text1"/>
        </w:rPr>
        <w:noBreakHyphen/>
      </w:r>
      <w:r w:rsidRPr="008E4FE3">
        <w:rPr>
          <w:u w:color="000000" w:themeColor="text1"/>
        </w:rPr>
        <w:t>related substance, as described in 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190 or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r>
      <w:r w:rsidRPr="008E4FE3">
        <w:rPr>
          <w:u w:color="000000" w:themeColor="text1"/>
        </w:rPr>
        <w:tab/>
        <w:t>(a)</w:t>
      </w:r>
      <w:r w:rsidRPr="008E4FE3">
        <w:rPr>
          <w:u w:color="000000" w:themeColor="text1"/>
        </w:rPr>
        <w:tab/>
        <w:t>for a first offense, a term of imprisonment of not more than t</w:t>
      </w:r>
      <w:r>
        <w:rPr>
          <w:u w:color="000000" w:themeColor="text1"/>
        </w:rPr>
        <w:t>wenty</w:t>
      </w:r>
      <w:r w:rsidRPr="008E4FE3">
        <w:rPr>
          <w:u w:color="000000" w:themeColor="text1"/>
        </w:rPr>
        <w:t xml:space="preserve"> years</w:t>
      </w:r>
      <w:r>
        <w:rPr>
          <w:u w:color="000000" w:themeColor="text1"/>
        </w:rPr>
        <w:t xml:space="preserve">, no part of which may be suspended or probation granted, </w:t>
      </w:r>
      <w:r w:rsidRPr="008E4FE3">
        <w:rPr>
          <w:u w:color="000000" w:themeColor="text1"/>
        </w:rPr>
        <w:t xml:space="preserve">and a fine of fifty thousand dollars; </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r>
      <w:r w:rsidRPr="008E4FE3">
        <w:rPr>
          <w:u w:color="000000" w:themeColor="text1"/>
        </w:rPr>
        <w:tab/>
        <w:t>(b)</w:t>
      </w:r>
      <w:r w:rsidRPr="008E4FE3">
        <w:rPr>
          <w:u w:color="000000" w:themeColor="text1"/>
        </w:rPr>
        <w:tab/>
        <w:t>for a second or subsequent offense, a term of imprisonment of not more than t</w:t>
      </w:r>
      <w:r>
        <w:rPr>
          <w:u w:color="000000" w:themeColor="text1"/>
        </w:rPr>
        <w:t>hirty</w:t>
      </w:r>
      <w:r w:rsidRPr="008E4FE3">
        <w:rPr>
          <w:u w:color="000000" w:themeColor="text1"/>
        </w:rPr>
        <w:t xml:space="preserve"> years</w:t>
      </w:r>
      <w:r>
        <w:rPr>
          <w:u w:color="000000" w:themeColor="text1"/>
        </w:rPr>
        <w:t>, no part of which may be suspended or probation granted,</w:t>
      </w:r>
      <w:r w:rsidRPr="008E4FE3">
        <w:rPr>
          <w:u w:color="000000" w:themeColor="text1"/>
        </w:rPr>
        <w:t xml:space="preserve"> and a fine of one hundred thousand dollars</w:t>
      </w:r>
      <w:r>
        <w:rPr>
          <w:u w:color="000000" w:themeColor="text1"/>
        </w:rPr>
        <w:t>;</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t>for an offense that results in a fatal overdose, the term of imprisonment must be increased by an additional sentence of up to twenty years to run consecutively</w:t>
      </w:r>
      <w:r w:rsidRPr="008E4FE3">
        <w:rPr>
          <w:u w:color="000000" w:themeColor="text1"/>
        </w:rPr>
        <w:t>.”</w:t>
      </w:r>
    </w:p>
    <w:p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91434" w:rsidRDefault="00562AED"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4FE3">
        <w:rPr>
          <w:u w:color="000000" w:themeColor="text1"/>
        </w:rPr>
        <w:t>SECTION</w:t>
      </w:r>
      <w:r w:rsidRPr="008E4FE3">
        <w:rPr>
          <w:u w:color="000000" w:themeColor="text1"/>
        </w:rPr>
        <w:tab/>
        <w:t>3.</w:t>
      </w:r>
      <w:r w:rsidRPr="008E4FE3">
        <w:rPr>
          <w:u w:color="000000" w:themeColor="text1"/>
        </w:rPr>
        <w:tab/>
        <w:t>The repeal or amendment by this act of any law, whether temporary or permanent</w:t>
      </w:r>
      <w:r w:rsidR="00CA11DC">
        <w:rPr>
          <w:u w:color="000000" w:themeColor="text1"/>
        </w:rPr>
        <w:t>,</w:t>
      </w:r>
      <w:r w:rsidRPr="008E4FE3">
        <w:rPr>
          <w:u w:color="000000" w:themeColor="text1"/>
        </w:rPr>
        <w:t xml:space="preserve"> or civil or criminal, does not affect pending actions, rights, duties, or liabilities founded thereon, or alter, discharge, release</w:t>
      </w:r>
      <w:r w:rsidR="00BD1900">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w:t>
      </w:r>
      <w:r w:rsidRPr="008E4FE3">
        <w:rPr>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1434" w:rsidRPr="00522CE0"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A34">
        <w:rPr>
          <w:rFonts w:eastAsia="Times New Roman"/>
        </w:rPr>
        <w:t>4</w:t>
      </w:r>
      <w:r>
        <w:rPr>
          <w:rFonts w:eastAsia="Times New Roman"/>
        </w:rPr>
        <w:t>.</w:t>
      </w:r>
      <w:r>
        <w:rPr>
          <w:rFonts w:eastAsia="Times New Roman"/>
        </w:rPr>
        <w:tab/>
        <w:t>This act takes effect upon approval by the Governor.</w:t>
      </w:r>
    </w:p>
    <w:p w:rsidR="000A5D3E" w:rsidRDefault="006657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32A9" w:rsidRDefault="000032A9" w:rsidP="000032A9">
      <w:pPr>
        <w:suppressAutoHyphens/>
        <w:jc w:val="both"/>
        <w:rPr>
          <w:rFonts w:eastAsia="Times New Roman"/>
        </w:rPr>
      </w:pPr>
    </w:p>
    <w:sectPr w:rsidR="000032A9" w:rsidSect="008C0FE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A34" w:rsidRDefault="00941A34" w:rsidP="00522CE0">
      <w:r>
        <w:separator/>
      </w:r>
    </w:p>
  </w:endnote>
  <w:endnote w:type="continuationSeparator" w:id="0">
    <w:p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D1D6CD5-4B94-4AB4-A7BD-D45C87CAB53D}"/>
    <w:embedBold r:id="rId2" w:fontKey="{9D4FB982-B2B9-4D5D-B460-6081F6D075B3}"/>
  </w:font>
  <w:font w:name="Calibri">
    <w:panose1 w:val="020F0502020204030204"/>
    <w:charset w:val="00"/>
    <w:family w:val="swiss"/>
    <w:pitch w:val="variable"/>
    <w:sig w:usb0="E0002AFF" w:usb1="4000ACFF" w:usb2="00000001" w:usb3="00000000" w:csb0="000001FF" w:csb1="00000000"/>
    <w:embedRegular r:id="rId3" w:fontKey="{6A31DCEE-9DED-40F6-A2E1-6738F62BB80D}"/>
    <w:embedBold r:id="rId4" w:fontKey="{589AF2D1-5CF3-491A-87E7-022B8884C85C}"/>
  </w:font>
  <w:font w:name="Segoe UI">
    <w:panose1 w:val="020B0502040204020203"/>
    <w:charset w:val="00"/>
    <w:family w:val="swiss"/>
    <w:pitch w:val="variable"/>
    <w:sig w:usb0="E4002EFF" w:usb1="C000E47F" w:usb2="00000009" w:usb3="00000000" w:csb0="000001FF" w:csb1="00000000"/>
    <w:embedRegular r:id="rId5" w:fontKey="{546DF7EE-59A1-44B9-931E-F71D1DCDAF91}"/>
  </w:font>
  <w:font w:name="Cambria">
    <w:panose1 w:val="02040503050406030204"/>
    <w:charset w:val="00"/>
    <w:family w:val="roman"/>
    <w:pitch w:val="variable"/>
    <w:sig w:usb0="A00002EF" w:usb1="4000004B" w:usb2="00000000" w:usb3="00000000" w:csb0="0000019F" w:csb1="00000000"/>
    <w:embedRegular r:id="rId6" w:fontKey="{709BDE9C-A8AA-4709-8799-CE66AFE258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D3E" w:rsidRPr="00A5622D" w:rsidRDefault="00A5622D" w:rsidP="00A5622D">
    <w:pPr>
      <w:pStyle w:val="Footer"/>
      <w:tabs>
        <w:tab w:val="clear" w:pos="4680"/>
        <w:tab w:val="clear" w:pos="9360"/>
        <w:tab w:val="center" w:pos="2995"/>
      </w:tabs>
      <w:spacing w:before="120"/>
    </w:pPr>
    <w:r>
      <w:t>[458</w:t>
    </w:r>
    <w:r w:rsidR="008C0FEA">
      <w:t>-</w:t>
    </w:r>
    <w:r w:rsidR="008C0FEA">
      <w:fldChar w:fldCharType="begin"/>
    </w:r>
    <w:r w:rsidR="008C0FEA">
      <w:instrText xml:space="preserve"> PAGE  \* MERGEFORMAT </w:instrText>
    </w:r>
    <w:r w:rsidR="008C0FEA">
      <w:fldChar w:fldCharType="separate"/>
    </w:r>
    <w:r w:rsidR="000032A9">
      <w:rPr>
        <w:noProof/>
      </w:rPr>
      <w:t>3</w:t>
    </w:r>
    <w:r w:rsidR="008C0FEA">
      <w:fldChar w:fldCharType="end"/>
    </w:r>
    <w:r w:rsidR="008C0F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0FEA" w:rsidRPr="00A5622D" w:rsidRDefault="008C0FEA"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0032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A34" w:rsidRDefault="00941A34" w:rsidP="00522CE0">
      <w:r>
        <w:separator/>
      </w:r>
    </w:p>
  </w:footnote>
  <w:footnote w:type="continuationSeparator" w:id="0">
    <w:p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032A9"/>
    <w:rsid w:val="00042AC1"/>
    <w:rsid w:val="00046516"/>
    <w:rsid w:val="00072458"/>
    <w:rsid w:val="0007601D"/>
    <w:rsid w:val="000A5D3E"/>
    <w:rsid w:val="000B0720"/>
    <w:rsid w:val="000B5EAF"/>
    <w:rsid w:val="001315B2"/>
    <w:rsid w:val="00170561"/>
    <w:rsid w:val="00174988"/>
    <w:rsid w:val="00185120"/>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7934"/>
    <w:rsid w:val="00522CE0"/>
    <w:rsid w:val="00541951"/>
    <w:rsid w:val="00562AED"/>
    <w:rsid w:val="00565148"/>
    <w:rsid w:val="00570403"/>
    <w:rsid w:val="00577450"/>
    <w:rsid w:val="00593361"/>
    <w:rsid w:val="005A413B"/>
    <w:rsid w:val="005A5017"/>
    <w:rsid w:val="005A648C"/>
    <w:rsid w:val="005F07AC"/>
    <w:rsid w:val="005F1745"/>
    <w:rsid w:val="0066576A"/>
    <w:rsid w:val="006A1802"/>
    <w:rsid w:val="006C0CBB"/>
    <w:rsid w:val="006C74EA"/>
    <w:rsid w:val="006F56CF"/>
    <w:rsid w:val="00720D40"/>
    <w:rsid w:val="007318D4"/>
    <w:rsid w:val="00765784"/>
    <w:rsid w:val="007835BD"/>
    <w:rsid w:val="007A4390"/>
    <w:rsid w:val="007E5CB7"/>
    <w:rsid w:val="008314D2"/>
    <w:rsid w:val="00870F6F"/>
    <w:rsid w:val="00891434"/>
    <w:rsid w:val="008B2F42"/>
    <w:rsid w:val="008C0FEA"/>
    <w:rsid w:val="008C3697"/>
    <w:rsid w:val="008C6F6D"/>
    <w:rsid w:val="008E185F"/>
    <w:rsid w:val="008F023B"/>
    <w:rsid w:val="008F7E05"/>
    <w:rsid w:val="00904E16"/>
    <w:rsid w:val="009162B3"/>
    <w:rsid w:val="00927C62"/>
    <w:rsid w:val="00941A34"/>
    <w:rsid w:val="00983951"/>
    <w:rsid w:val="00984124"/>
    <w:rsid w:val="00984640"/>
    <w:rsid w:val="00995C37"/>
    <w:rsid w:val="009C118A"/>
    <w:rsid w:val="00A02011"/>
    <w:rsid w:val="00A4011E"/>
    <w:rsid w:val="00A5622D"/>
    <w:rsid w:val="00A645EF"/>
    <w:rsid w:val="00A86015"/>
    <w:rsid w:val="00A9594E"/>
    <w:rsid w:val="00AE59C8"/>
    <w:rsid w:val="00B10098"/>
    <w:rsid w:val="00B5790D"/>
    <w:rsid w:val="00B945C5"/>
    <w:rsid w:val="00BA20EA"/>
    <w:rsid w:val="00BB5AFC"/>
    <w:rsid w:val="00BC026E"/>
    <w:rsid w:val="00BC0A56"/>
    <w:rsid w:val="00BD1900"/>
    <w:rsid w:val="00C45366"/>
    <w:rsid w:val="00C57023"/>
    <w:rsid w:val="00C74052"/>
    <w:rsid w:val="00CA11DC"/>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4294"/>
    <w:rsid w:val="00E76AD9"/>
    <w:rsid w:val="00E86EE2"/>
    <w:rsid w:val="00E91E2F"/>
    <w:rsid w:val="00EA3546"/>
    <w:rsid w:val="00EB47AE"/>
    <w:rsid w:val="00EC34E1"/>
    <w:rsid w:val="00F0234A"/>
    <w:rsid w:val="00F05CF2"/>
    <w:rsid w:val="00F51241"/>
    <w:rsid w:val="00F52959"/>
    <w:rsid w:val="00F55884"/>
    <w:rsid w:val="00F7191D"/>
    <w:rsid w:val="00F7310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1384</Words>
  <Characters>7521</Characters>
  <Application>Microsoft Office Word</Application>
  <DocSecurity>0</DocSecurity>
  <Lines>196</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Text of Previous Version (Feb. 23, 2022) - South Carolina Legislature Online</dc:title>
  <dc:subject/>
  <dc:creator>Sara Parrish</dc:creator>
  <cp:keywords/>
  <dc:description/>
  <cp:lastModifiedBy>Miriam Cook</cp:lastModifiedBy>
  <cp:revision>2</cp:revision>
  <cp:lastPrinted>2021-01-13T17:43:00Z</cp:lastPrinted>
  <dcterms:created xsi:type="dcterms:W3CDTF">2022-02-24T01:13:00Z</dcterms:created>
  <dcterms:modified xsi:type="dcterms:W3CDTF">2022-02-24T01:13:00Z</dcterms:modified>
</cp:coreProperties>
</file>