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0E531" w14:textId="5A839467"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2A4F9B0" w14:textId="390A522E"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BFF851A" w14:textId="77777777"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42F917" w14:textId="3D85BA82"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7216AA6" w14:textId="64375B0C"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2021</w:t>
      </w:r>
    </w:p>
    <w:p w14:paraId="24B22D6B" w14:textId="42C11C80"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F2F79" w14:textId="19243ED4" w:rsidR="00D84C18" w:rsidRPr="00D84C18" w:rsidRDefault="00D84C18" w:rsidP="00D84C18">
      <w:pPr>
        <w:tabs>
          <w:tab w:val="right" w:pos="5933"/>
        </w:tabs>
        <w:suppressAutoHyphens/>
        <w:jc w:val="both"/>
        <w:rPr>
          <w:rFonts w:eastAsia="Times New Roman"/>
        </w:rPr>
      </w:pPr>
      <w:r>
        <w:rPr>
          <w:rFonts w:eastAsia="Times New Roman"/>
        </w:rPr>
        <w:tab/>
      </w:r>
      <w:r>
        <w:rPr>
          <w:rFonts w:eastAsia="Times New Roman"/>
          <w:b/>
          <w:sz w:val="36"/>
        </w:rPr>
        <w:t>S. 463</w:t>
      </w:r>
    </w:p>
    <w:p w14:paraId="2B6C45AE" w14:textId="23086B54"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0A4372" w14:textId="2E102FC1"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216D15">
        <w:t>Senators Alexander, Cromer, Grooms, Scott and Loftis</w:t>
      </w:r>
    </w:p>
    <w:p w14:paraId="1BC2CB02" w14:textId="76502A9F"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80027B" w14:textId="3C6BBEB8"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3/17/21--S.</w:t>
      </w:r>
    </w:p>
    <w:p w14:paraId="0C80705D" w14:textId="08AB5464"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4BCB98D6" w14:textId="0DA991CA" w:rsidR="00D84C18" w:rsidRP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8C81CDA" w14:textId="4DCAD6FB"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A63F52" w14:textId="606EFA9C" w:rsidR="00D84C18" w:rsidRP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14:paraId="0926AE54" w14:textId="36AB31F7" w:rsid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463) to delete Section 2.B. of Act 134 of 2016, relating to the expiration of tax credits for the purchase of geothermal machinery and equipment, etc., respectfully</w:t>
      </w:r>
    </w:p>
    <w:p w14:paraId="72A0F301" w14:textId="52E8FCD7" w:rsidR="00D84C18" w:rsidRP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3E1A630" w14:textId="1959FA45"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BE2DDAB" w14:textId="77777777"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3A32D3" w14:textId="22DC3680" w:rsidR="00D84C18" w:rsidRPr="00F7260D"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260D">
        <w:rPr>
          <w:rFonts w:eastAsia="Times New Roman"/>
          <w:snapToGrid w:val="0"/>
          <w:szCs w:val="20"/>
        </w:rPr>
        <w:tab/>
        <w:t>Amend the bill, as and if amended, by striking SECTION 1 and inserting:</w:t>
      </w:r>
    </w:p>
    <w:p w14:paraId="486461D3" w14:textId="77777777" w:rsidR="00D84C18" w:rsidRPr="00F7260D"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F7260D">
        <w:rPr>
          <w:rFonts w:eastAsia="Times New Roman"/>
          <w:snapToGrid w:val="0"/>
          <w:szCs w:val="20"/>
        </w:rPr>
        <w:t>/</w:t>
      </w:r>
      <w:r w:rsidRPr="00F7260D">
        <w:rPr>
          <w:rFonts w:eastAsia="Times New Roman"/>
          <w:snapToGrid w:val="0"/>
          <w:szCs w:val="20"/>
        </w:rPr>
        <w:tab/>
      </w:r>
      <w:r w:rsidRPr="00F7260D">
        <w:rPr>
          <w:rFonts w:eastAsia="Times New Roman"/>
        </w:rPr>
        <w:t>SECTION</w:t>
      </w:r>
      <w:r w:rsidRPr="00F7260D">
        <w:rPr>
          <w:rFonts w:eastAsia="Times New Roman"/>
        </w:rPr>
        <w:tab/>
        <w:t>1.</w:t>
      </w:r>
      <w:r w:rsidRPr="00F7260D">
        <w:rPr>
          <w:rFonts w:eastAsia="Times New Roman"/>
        </w:rPr>
        <w:tab/>
        <w:t>SECTION 2.B. of Act 134 of 2016, as amended by Act 47 of 2019, is amended to read:</w:t>
      </w:r>
    </w:p>
    <w:p w14:paraId="4E09A695" w14:textId="77777777" w:rsidR="00D84C18" w:rsidRPr="00F7260D"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7260D">
        <w:rPr>
          <w:rFonts w:eastAsia="Times New Roman"/>
        </w:rPr>
        <w:tab/>
      </w:r>
      <w:r w:rsidRPr="00F7260D">
        <w:rPr>
          <w:snapToGrid w:val="0"/>
        </w:rPr>
        <w:t>B.</w:t>
      </w:r>
      <w:r w:rsidRPr="00F7260D">
        <w:rPr>
          <w:snapToGrid w:val="0"/>
        </w:rPr>
        <w:tab/>
        <w:t xml:space="preserve">The provisions contained in this section related to geothermal machinery and equipment are repealed January 1, </w:t>
      </w:r>
      <w:r w:rsidRPr="00F7260D">
        <w:rPr>
          <w:strike/>
          <w:snapToGrid w:val="0"/>
        </w:rPr>
        <w:t>2022</w:t>
      </w:r>
      <w:r w:rsidRPr="00F7260D">
        <w:rPr>
          <w:snapToGrid w:val="0"/>
        </w:rPr>
        <w:t xml:space="preserve"> </w:t>
      </w:r>
      <w:r w:rsidRPr="00F7260D">
        <w:rPr>
          <w:snapToGrid w:val="0"/>
          <w:u w:val="single"/>
        </w:rPr>
        <w:t>2032</w:t>
      </w:r>
      <w:r w:rsidRPr="00F7260D">
        <w:rPr>
          <w:snapToGrid w:val="0"/>
        </w:rPr>
        <w:t>.</w:t>
      </w:r>
      <w:bookmarkStart w:id="0" w:name="temp"/>
      <w:bookmarkEnd w:id="0"/>
      <w:r w:rsidRPr="00F7260D">
        <w:rPr>
          <w:rFonts w:eastAsia="Times New Roman"/>
        </w:rPr>
        <w:tab/>
      </w:r>
      <w:r w:rsidRPr="00F7260D">
        <w:rPr>
          <w:rFonts w:eastAsia="Times New Roman"/>
        </w:rPr>
        <w:tab/>
        <w:t>/</w:t>
      </w:r>
    </w:p>
    <w:p w14:paraId="63486E2E" w14:textId="77777777" w:rsidR="00D84C18" w:rsidRPr="00F7260D"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260D">
        <w:rPr>
          <w:rFonts w:eastAsia="Times New Roman"/>
          <w:snapToGrid w:val="0"/>
          <w:szCs w:val="20"/>
        </w:rPr>
        <w:tab/>
        <w:t>Renumber sections to conform.</w:t>
      </w:r>
    </w:p>
    <w:p w14:paraId="6CB7C28F" w14:textId="77777777" w:rsid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260D">
        <w:rPr>
          <w:rFonts w:eastAsia="Times New Roman"/>
          <w:snapToGrid w:val="0"/>
          <w:szCs w:val="20"/>
        </w:rPr>
        <w:tab/>
        <w:t>Amend title to conform.</w:t>
      </w:r>
    </w:p>
    <w:p w14:paraId="771BE945" w14:textId="7D811DE8"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654C22" w14:textId="1E6D67D2"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14:paraId="68D48781" w14:textId="347815D9" w:rsidR="00D84C18" w:rsidRP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35220E4" w14:textId="1D871603"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43D11" w14:textId="36BAEF4C" w:rsidR="00D84C18" w:rsidRP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283C146A" w14:textId="54D8D7CA" w:rsidR="00D84C18" w:rsidRP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D84C18">
        <w:rPr>
          <w:rFonts w:eastAsia="Times New Roman"/>
          <w:b/>
          <w:bCs/>
        </w:rPr>
        <w:t>Explanation of Fiscal Impact</w:t>
      </w:r>
    </w:p>
    <w:p w14:paraId="23E7DFE8" w14:textId="77777777" w:rsidR="00D84C18" w:rsidRP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D84C18">
        <w:rPr>
          <w:rFonts w:eastAsia="Times New Roman"/>
          <w:b/>
          <w:bCs/>
        </w:rPr>
        <w:t>State Expenditure</w:t>
      </w:r>
    </w:p>
    <w:p w14:paraId="11858001" w14:textId="77777777" w:rsidR="00D84C18" w:rsidRP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84C18">
        <w:rPr>
          <w:rFonts w:eastAsia="Times New Roman"/>
        </w:rPr>
        <w:tab/>
        <w:t xml:space="preserve">Section 12-6-3587 allows a twenty-five percent income tax credit for the costs incurred by the taxpayer for the purchase and installation of specific residential renewable energy equipment, including geothermal machinery and equipment. Currently, this tax </w:t>
      </w:r>
      <w:r w:rsidRPr="00D84C18">
        <w:rPr>
          <w:rFonts w:eastAsia="Times New Roman"/>
        </w:rPr>
        <w:lastRenderedPageBreak/>
        <w:t>credit is set to repeal as of January 1, 2022. This bill deletes this provision. This bill will not have an expenditure impact for the Department of Revenue because the tax credit is already in place, and removing the sunset provision will not have an operational or fiscal impact on the agency.</w:t>
      </w:r>
    </w:p>
    <w:p w14:paraId="498C6D18" w14:textId="77777777" w:rsidR="00D84C18" w:rsidRP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D84C18">
        <w:rPr>
          <w:rFonts w:eastAsia="Times New Roman"/>
          <w:b/>
          <w:bCs/>
        </w:rPr>
        <w:t>State Revenue</w:t>
      </w:r>
    </w:p>
    <w:p w14:paraId="2B421D8B" w14:textId="77777777" w:rsidR="00D84C18" w:rsidRP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84C18">
        <w:rPr>
          <w:rFonts w:eastAsia="Times New Roman"/>
        </w:rPr>
        <w:tab/>
        <w:t xml:space="preserve">This bill deletes the sunset provision related to the twenty-five percent state tax credit allowed for the purchase and installation of geothermal machinery and equipment. Based on data from the Department of Revenue’s 2018-2019 Annual Report, 5,610 individuals claimed $18,468,028 and 29 corporations claimed $1,296,877 in FY 2018-19 for the Solar Energy System Credit. This results in a total claimed amount of $19,764,905. The tax credit information available from South Carolina state income tax forms reports the combined total for solar, small hydropower, and geothermal machinery and equipment systems. According to the U.S. Energy Information Administration’s (EIA) Monthly Energy Review, geothermal energy consumption accounts for approximately 13.7 percent of total residential and 18.3 percent of total commercial renewable energy from solar and geothermal sources. Utilizing these figures, we estimate that 770 individuals claimed approximately $2,534,000 and 5 corporations claimed $237,000 in FY 2018-19 for the geothermal machinery and equipment tax credit. This results in a total estimated claim amount of $2,771,000. </w:t>
      </w:r>
    </w:p>
    <w:p w14:paraId="22741F96" w14:textId="17887FFC" w:rsid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84C18">
        <w:rPr>
          <w:rFonts w:eastAsia="Times New Roman"/>
        </w:rPr>
        <w:tab/>
        <w:t xml:space="preserve">Without the deletion of the sunset provision, no additional tax credits for geothermal machinery and equipment would be expected following tax year 2021, thereby increasing general fund revenues. Based upon the Annual Energy Outlook 2021 by EIA, geothermal energy production is not expected to change significantly through the period, and we anticipate credits will remain stable. Therefore, the deletion of the sunset provision is expected to reduce general fund individual income tax revenue by $2,534,000 and corporate income tax revenue by $237,000 a year beginning in FY 2022-23, for a total reduction of $2,771,000. </w:t>
      </w:r>
    </w:p>
    <w:p w14:paraId="6AA2B5E5" w14:textId="1413E923" w:rsid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E38DAC" w14:textId="56F0554A" w:rsid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5D04D624" w14:textId="0098D554" w:rsidR="00D84C18" w:rsidRPr="00D84C18" w:rsidRDefault="00D84C18" w:rsidP="00D8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3211F52D" w14:textId="01B23CCE"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5DFEEC" w14:textId="77777777" w:rsidR="00D84C18" w:rsidRDefault="00D84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4C18" w:rsidSect="00D84C1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6CCB81F" w14:textId="0018BE23" w:rsidR="000E124B" w:rsidRPr="00522CE0" w:rsidRDefault="000E12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079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30D1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887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96D0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DA1B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0A3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92F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973B1" w14:textId="77777777" w:rsidR="00522CE0" w:rsidRPr="008F023B" w:rsidRDefault="00522CE0" w:rsidP="000E1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A136EA">
        <w:rPr>
          <w:rFonts w:eastAsia="Times New Roman"/>
          <w:b/>
          <w:sz w:val="30"/>
          <w:szCs w:val="30"/>
        </w:rPr>
        <w:t>BILL</w:t>
      </w:r>
    </w:p>
    <w:p w14:paraId="072846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F6B40" w14:textId="6E5F9138" w:rsidR="00522CE0" w:rsidRPr="00522CE0" w:rsidRDefault="00B07F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 xml:space="preserve">TO DELETE SECTION 2.B. OF ACT 134 OF 2016, RELATING TO THE </w:t>
      </w:r>
      <w:r w:rsidR="00FF045D">
        <w:rPr>
          <w:rFonts w:eastAsia="Times New Roman"/>
        </w:rPr>
        <w:t>EXPIRATION OF TAX CREDITS FOR THE PURCHASE OF GEOTHERMAL MACHINERY AND EQUIPMENT</w:t>
      </w:r>
      <w:r w:rsidR="00CC770F">
        <w:rPr>
          <w:rFonts w:eastAsia="Times New Roman"/>
        </w:rPr>
        <w:t>.</w:t>
      </w:r>
      <w:bookmarkEnd w:id="2"/>
    </w:p>
    <w:p w14:paraId="493249D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2948BEC3" w14:textId="77777777" w:rsidR="00A136EA" w:rsidRDefault="00A136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6CB1501" w14:textId="77777777" w:rsidR="00A136EA" w:rsidRDefault="00A136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F1C339" w14:textId="77777777" w:rsidR="00CC770F" w:rsidRDefault="00A136EA" w:rsidP="00C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C770F">
        <w:rPr>
          <w:rFonts w:eastAsia="Times New Roman"/>
        </w:rPr>
        <w:t>SECTION 2.B. of Act 134 of 2016</w:t>
      </w:r>
      <w:r w:rsidR="0068060C">
        <w:rPr>
          <w:rFonts w:eastAsia="Times New Roman"/>
        </w:rPr>
        <w:t>, as last amended by Act 47 of 2019,</w:t>
      </w:r>
      <w:r w:rsidR="00CC770F">
        <w:rPr>
          <w:rFonts w:eastAsia="Times New Roman"/>
        </w:rPr>
        <w:t xml:space="preserve"> is </w:t>
      </w:r>
      <w:r w:rsidR="0068060C">
        <w:rPr>
          <w:rFonts w:eastAsia="Times New Roman"/>
        </w:rPr>
        <w:t>deleted.</w:t>
      </w:r>
    </w:p>
    <w:p w14:paraId="30DB1EDA" w14:textId="77777777" w:rsidR="00CC770F" w:rsidRDefault="00CC770F" w:rsidP="00C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3B4D10" w14:textId="1685E9D1" w:rsidR="00A136EA" w:rsidRDefault="00CC770F" w:rsidP="00CC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29A1">
        <w:rPr>
          <w:rFonts w:eastAsia="Times New Roman"/>
          <w:snapToGrid w:val="0"/>
          <w:szCs w:val="20"/>
        </w:rPr>
        <w:t>SECTION</w:t>
      </w:r>
      <w:r w:rsidRPr="006529A1">
        <w:rPr>
          <w:rFonts w:eastAsia="Times New Roman"/>
          <w:snapToGrid w:val="0"/>
          <w:szCs w:val="20"/>
        </w:rPr>
        <w:tab/>
        <w:t>2.</w:t>
      </w:r>
      <w:r w:rsidRPr="006529A1">
        <w:rPr>
          <w:rFonts w:eastAsia="Times New Roman"/>
          <w:snapToGrid w:val="0"/>
          <w:szCs w:val="20"/>
        </w:rPr>
        <w:tab/>
        <w:t>This act takes effect upon approval by the Governor.</w:t>
      </w:r>
    </w:p>
    <w:p w14:paraId="14DFFC92" w14:textId="1306D443" w:rsidR="00541C1C" w:rsidRDefault="00C558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77990AE" w14:textId="77777777" w:rsidR="00A87147" w:rsidRDefault="00A87147" w:rsidP="00A87147">
      <w:pPr>
        <w:suppressAutoHyphens/>
        <w:jc w:val="both"/>
        <w:rPr>
          <w:rFonts w:eastAsia="Times New Roman"/>
        </w:rPr>
      </w:pPr>
    </w:p>
    <w:sectPr w:rsidR="00A87147" w:rsidSect="00D84C1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AF853" w14:textId="77777777" w:rsidR="00A136EA" w:rsidRDefault="00A136EA" w:rsidP="00522CE0">
      <w:r>
        <w:separator/>
      </w:r>
    </w:p>
  </w:endnote>
  <w:endnote w:type="continuationSeparator" w:id="0">
    <w:p w14:paraId="4D44D034" w14:textId="77777777" w:rsidR="00A136EA" w:rsidRDefault="00A136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10EC69-2977-4B82-AC1C-FA8424FAE6FE}"/>
    <w:embedBold r:id="rId2" w:fontKey="{961926C4-06FC-4E38-A739-2FAEA2B8623D}"/>
  </w:font>
  <w:font w:name="Calibri">
    <w:panose1 w:val="020F0502020204030204"/>
    <w:charset w:val="00"/>
    <w:family w:val="swiss"/>
    <w:pitch w:val="variable"/>
    <w:sig w:usb0="E0002EFF" w:usb1="C000247B" w:usb2="00000009" w:usb3="00000000" w:csb0="000001FF" w:csb1="00000000"/>
    <w:embedRegular r:id="rId3" w:fontKey="{95391BD5-88A4-4D34-9DFE-1ABED3FAF8AD}"/>
    <w:embedBold r:id="rId4" w:fontKey="{CFAEA4A7-8A91-4923-A676-72996AF31B5E}"/>
  </w:font>
  <w:font w:name="Segoe UI">
    <w:panose1 w:val="020B0502040204020203"/>
    <w:charset w:val="00"/>
    <w:family w:val="swiss"/>
    <w:pitch w:val="variable"/>
    <w:sig w:usb0="E4002EFF" w:usb1="C000E47F" w:usb2="00000009" w:usb3="00000000" w:csb0="000001FF" w:csb1="00000000"/>
    <w:embedRegular r:id="rId5" w:fontKey="{1B59C63A-2EF0-4ED4-A629-59C70F552B99}"/>
  </w:font>
  <w:font w:name="Cambria">
    <w:panose1 w:val="02040503050406030204"/>
    <w:charset w:val="00"/>
    <w:family w:val="roman"/>
    <w:pitch w:val="variable"/>
    <w:sig w:usb0="E00006FF" w:usb1="420024FF" w:usb2="02000000" w:usb3="00000000" w:csb0="0000019F" w:csb1="00000000"/>
    <w:embedRegular r:id="rId6" w:fontKey="{DD45CACB-101A-4F1C-A340-9B694F2079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4950E" w14:textId="53744FC4" w:rsidR="00541C1C" w:rsidRPr="000E124B" w:rsidRDefault="000E124B" w:rsidP="000E124B">
    <w:pPr>
      <w:pStyle w:val="Footer"/>
      <w:tabs>
        <w:tab w:val="clear" w:pos="4680"/>
        <w:tab w:val="clear" w:pos="9360"/>
        <w:tab w:val="center" w:pos="2995"/>
      </w:tabs>
      <w:spacing w:before="120"/>
    </w:pPr>
    <w:r>
      <w:t>[463</w:t>
    </w:r>
    <w:r w:rsidR="00D84C18">
      <w:t>-</w:t>
    </w:r>
    <w:r w:rsidR="00D84C18">
      <w:fldChar w:fldCharType="begin"/>
    </w:r>
    <w:r w:rsidR="00D84C18">
      <w:instrText xml:space="preserve"> PAGE  \* MERGEFORMAT </w:instrText>
    </w:r>
    <w:r w:rsidR="00D84C18">
      <w:fldChar w:fldCharType="separate"/>
    </w:r>
    <w:r w:rsidR="00A87147">
      <w:rPr>
        <w:noProof/>
      </w:rPr>
      <w:t>2</w:t>
    </w:r>
    <w:r w:rsidR="00D84C18">
      <w:fldChar w:fldCharType="end"/>
    </w:r>
    <w:r w:rsidR="00D84C1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84227" w14:textId="1C11B2C6" w:rsidR="00D84C18" w:rsidRPr="000E124B" w:rsidRDefault="00D84C18" w:rsidP="000E124B">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sidR="00A871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26C9E" w14:textId="77777777" w:rsidR="00A136EA" w:rsidRDefault="00A136EA" w:rsidP="00522CE0">
      <w:r>
        <w:separator/>
      </w:r>
    </w:p>
  </w:footnote>
  <w:footnote w:type="continuationSeparator" w:id="0">
    <w:p w14:paraId="2F207299" w14:textId="77777777" w:rsidR="00A136EA" w:rsidRDefault="00A136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GEOT.KMM.TCA"/>
    <w:docVar w:name="CoverAttorneyInitials" w:val="KMM"/>
    <w:docVar w:name="CoverAttorneyLastName" w:val="Moffitt"/>
    <w:docVar w:name="CoverBillType" w:val="b"/>
    <w:docVar w:name="CoverSenator" w:val="TCA"/>
    <w:docVar w:name="dvBillNumber" w:val="463"/>
    <w:docVar w:name="dvBillNumberPrefix" w:val="S. "/>
    <w:docVar w:name="dvOriginalBody" w:val="Senate"/>
    <w:docVar w:name="fulldraftpath" w:val="L:\S-RES\TCA\023GEOT.KMM.TCA.DOCX"/>
    <w:docVar w:name="NameofBody" w:val="S"/>
    <w:docVar w:name="vgroup2" w:val="S-RES"/>
  </w:docVars>
  <w:rsids>
    <w:rsidRoot w:val="00A136EA"/>
    <w:rsid w:val="00042AC1"/>
    <w:rsid w:val="00046516"/>
    <w:rsid w:val="00072458"/>
    <w:rsid w:val="0007601D"/>
    <w:rsid w:val="000B0720"/>
    <w:rsid w:val="000B5EAF"/>
    <w:rsid w:val="000E124B"/>
    <w:rsid w:val="001315B2"/>
    <w:rsid w:val="00170561"/>
    <w:rsid w:val="00174988"/>
    <w:rsid w:val="00186AC9"/>
    <w:rsid w:val="00197DF1"/>
    <w:rsid w:val="001B3DD9"/>
    <w:rsid w:val="001B7E5D"/>
    <w:rsid w:val="001D3BAC"/>
    <w:rsid w:val="00216025"/>
    <w:rsid w:val="002459DD"/>
    <w:rsid w:val="00245C4E"/>
    <w:rsid w:val="002C1321"/>
    <w:rsid w:val="002C2031"/>
    <w:rsid w:val="002C5896"/>
    <w:rsid w:val="002D3BED"/>
    <w:rsid w:val="002D4BCD"/>
    <w:rsid w:val="00307C2B"/>
    <w:rsid w:val="00315D04"/>
    <w:rsid w:val="00383247"/>
    <w:rsid w:val="0039719D"/>
    <w:rsid w:val="003C5FBF"/>
    <w:rsid w:val="003D6E2B"/>
    <w:rsid w:val="003E7597"/>
    <w:rsid w:val="00413EBF"/>
    <w:rsid w:val="0044020F"/>
    <w:rsid w:val="00442711"/>
    <w:rsid w:val="00450668"/>
    <w:rsid w:val="00454138"/>
    <w:rsid w:val="00464022"/>
    <w:rsid w:val="004813A2"/>
    <w:rsid w:val="004952FA"/>
    <w:rsid w:val="004B6A22"/>
    <w:rsid w:val="004D7F37"/>
    <w:rsid w:val="00522CE0"/>
    <w:rsid w:val="00541951"/>
    <w:rsid w:val="00541C1C"/>
    <w:rsid w:val="00565148"/>
    <w:rsid w:val="00570403"/>
    <w:rsid w:val="00577450"/>
    <w:rsid w:val="00593361"/>
    <w:rsid w:val="00595D52"/>
    <w:rsid w:val="005A413B"/>
    <w:rsid w:val="005A5017"/>
    <w:rsid w:val="005A648C"/>
    <w:rsid w:val="005F07AC"/>
    <w:rsid w:val="005F1745"/>
    <w:rsid w:val="006105BF"/>
    <w:rsid w:val="0068060C"/>
    <w:rsid w:val="006A1802"/>
    <w:rsid w:val="006C0CBB"/>
    <w:rsid w:val="006C74EA"/>
    <w:rsid w:val="006F56CF"/>
    <w:rsid w:val="00720D40"/>
    <w:rsid w:val="007318D4"/>
    <w:rsid w:val="00765784"/>
    <w:rsid w:val="007A4390"/>
    <w:rsid w:val="007E5CB7"/>
    <w:rsid w:val="00825BF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71B8"/>
    <w:rsid w:val="00A02011"/>
    <w:rsid w:val="00A136EA"/>
    <w:rsid w:val="00A4011E"/>
    <w:rsid w:val="00A86015"/>
    <w:rsid w:val="00A87147"/>
    <w:rsid w:val="00A9594E"/>
    <w:rsid w:val="00AE59C8"/>
    <w:rsid w:val="00AF1257"/>
    <w:rsid w:val="00B07FD0"/>
    <w:rsid w:val="00B10098"/>
    <w:rsid w:val="00B5790D"/>
    <w:rsid w:val="00B945C5"/>
    <w:rsid w:val="00BA20EA"/>
    <w:rsid w:val="00BB5AFC"/>
    <w:rsid w:val="00BC026E"/>
    <w:rsid w:val="00BC0A56"/>
    <w:rsid w:val="00C01BA3"/>
    <w:rsid w:val="00C3099F"/>
    <w:rsid w:val="00C45366"/>
    <w:rsid w:val="00C55867"/>
    <w:rsid w:val="00C57023"/>
    <w:rsid w:val="00C74052"/>
    <w:rsid w:val="00CB187A"/>
    <w:rsid w:val="00CC0EC7"/>
    <w:rsid w:val="00CC251A"/>
    <w:rsid w:val="00CC770F"/>
    <w:rsid w:val="00CF2C98"/>
    <w:rsid w:val="00D1088B"/>
    <w:rsid w:val="00D1286F"/>
    <w:rsid w:val="00D14DE6"/>
    <w:rsid w:val="00D156D2"/>
    <w:rsid w:val="00D35486"/>
    <w:rsid w:val="00D53E29"/>
    <w:rsid w:val="00D750D0"/>
    <w:rsid w:val="00D84C18"/>
    <w:rsid w:val="00D86943"/>
    <w:rsid w:val="00DA3C6B"/>
    <w:rsid w:val="00DA47B9"/>
    <w:rsid w:val="00DA6F9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0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899A7A"/>
  <w15:docId w15:val="{27A54FB9-8AA7-4C60-AD46-9D076D31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595D52"/>
    <w:rPr>
      <w:sz w:val="16"/>
      <w:szCs w:val="16"/>
    </w:rPr>
  </w:style>
  <w:style w:type="paragraph" w:styleId="CommentText">
    <w:name w:val="annotation text"/>
    <w:basedOn w:val="Normal"/>
    <w:link w:val="CommentTextChar"/>
    <w:uiPriority w:val="99"/>
    <w:semiHidden/>
    <w:unhideWhenUsed/>
    <w:rsid w:val="00595D52"/>
    <w:rPr>
      <w:sz w:val="20"/>
      <w:szCs w:val="20"/>
    </w:rPr>
  </w:style>
  <w:style w:type="character" w:customStyle="1" w:styleId="CommentTextChar">
    <w:name w:val="Comment Text Char"/>
    <w:basedOn w:val="DefaultParagraphFont"/>
    <w:link w:val="CommentText"/>
    <w:uiPriority w:val="99"/>
    <w:semiHidden/>
    <w:rsid w:val="00595D52"/>
    <w:rPr>
      <w:sz w:val="20"/>
      <w:szCs w:val="20"/>
    </w:rPr>
  </w:style>
  <w:style w:type="paragraph" w:styleId="CommentSubject">
    <w:name w:val="annotation subject"/>
    <w:basedOn w:val="CommentText"/>
    <w:next w:val="CommentText"/>
    <w:link w:val="CommentSubjectChar"/>
    <w:uiPriority w:val="99"/>
    <w:semiHidden/>
    <w:unhideWhenUsed/>
    <w:rsid w:val="00595D52"/>
    <w:rPr>
      <w:b/>
      <w:bCs/>
    </w:rPr>
  </w:style>
  <w:style w:type="character" w:customStyle="1" w:styleId="CommentSubjectChar">
    <w:name w:val="Comment Subject Char"/>
    <w:basedOn w:val="CommentTextChar"/>
    <w:link w:val="CommentSubject"/>
    <w:uiPriority w:val="99"/>
    <w:semiHidden/>
    <w:rsid w:val="00595D52"/>
    <w:rPr>
      <w:b/>
      <w:bCs/>
      <w:sz w:val="20"/>
      <w:szCs w:val="20"/>
    </w:rPr>
  </w:style>
  <w:style w:type="paragraph" w:styleId="BalloonText">
    <w:name w:val="Balloon Text"/>
    <w:basedOn w:val="Normal"/>
    <w:link w:val="BalloonTextChar"/>
    <w:uiPriority w:val="99"/>
    <w:semiHidden/>
    <w:unhideWhenUsed/>
    <w:rsid w:val="00595D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D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3210</Characters>
  <Application>Microsoft Office Word</Application>
  <DocSecurity>0</DocSecurity>
  <Lines>105</Lines>
  <Paragraphs>33</Paragraphs>
  <ScaleCrop>false</ScaleCrop>
  <Company>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 Text of Previous Version (Mar. 17, 2021) - South Carolina Legislature Online</dc:title>
  <dc:subject/>
  <dc:creator>Rebecca Landau</dc:creator>
  <cp:keywords/>
  <dc:description/>
  <cp:lastModifiedBy>Danny Crook</cp:lastModifiedBy>
  <cp:revision>2</cp:revision>
  <dcterms:created xsi:type="dcterms:W3CDTF">2021-03-17T21:35:00Z</dcterms:created>
  <dcterms:modified xsi:type="dcterms:W3CDTF">2021-03-17T21:35:00Z</dcterms:modified>
</cp:coreProperties>
</file>