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85B" w:rsidRDefault="001948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4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8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7E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34994">
        <w:t>HONOR AND CONGRATULATE CATAWBA REGIONAL COUNCIL OF GOVERNMENTS AT THE CELEBRATION OF ITS FIFTIETH ANNIVERSARY OF SERVICE TO CHESTER, LANCASTER, UNION, AND YORK COUNTIES.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1A38" w:rsidRDefault="004A6EC5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i</w:t>
      </w:r>
      <w:r w:rsidR="006831FD">
        <w:rPr>
          <w:color w:val="000000" w:themeColor="text1"/>
          <w:u w:color="000000" w:themeColor="text1"/>
        </w:rPr>
        <w:t xml:space="preserve">s pleased to learn that </w:t>
      </w:r>
      <w:r>
        <w:rPr>
          <w:color w:val="000000" w:themeColor="text1"/>
          <w:u w:color="000000" w:themeColor="text1"/>
        </w:rPr>
        <w:t>C</w:t>
      </w:r>
      <w:r>
        <w:t xml:space="preserve">atawba Regional Council of Governments </w:t>
      </w:r>
      <w:r w:rsidR="00F007D7">
        <w:t xml:space="preserve">(COG) </w:t>
      </w:r>
      <w:r>
        <w:t>is celebrating its fiftieth anniversary on October 21, 2021</w:t>
      </w:r>
      <w:r w:rsidR="001B05F2">
        <w:t>. T</w:t>
      </w:r>
      <w:r w:rsidR="00211A38" w:rsidRPr="00F26DED">
        <w:rPr>
          <w:color w:val="000000" w:themeColor="text1"/>
          <w:u w:color="000000" w:themeColor="text1"/>
        </w:rPr>
        <w:t>he four counties of Chester, Lancaster, Union, and York were the formative member governments of Catawba Regional COG</w:t>
      </w:r>
      <w:r w:rsidR="00EE5DD5">
        <w:rPr>
          <w:color w:val="000000" w:themeColor="text1"/>
          <w:u w:color="000000" w:themeColor="text1"/>
        </w:rPr>
        <w:t>, officially created in 197</w:t>
      </w:r>
      <w:r w:rsidR="00731CA1">
        <w:rPr>
          <w:color w:val="000000" w:themeColor="text1"/>
          <w:u w:color="000000" w:themeColor="text1"/>
        </w:rPr>
        <w:t>0</w:t>
      </w:r>
      <w:r w:rsidR="00211A38" w:rsidRPr="00F26DED">
        <w:rPr>
          <w:color w:val="000000" w:themeColor="text1"/>
          <w:u w:color="000000" w:themeColor="text1"/>
        </w:rPr>
        <w:t xml:space="preserve">. These counties, along with the </w:t>
      </w:r>
      <w:r w:rsidR="00211A38">
        <w:rPr>
          <w:color w:val="000000" w:themeColor="text1"/>
          <w:u w:color="000000" w:themeColor="text1"/>
        </w:rPr>
        <w:t>twenty</w:t>
      </w:r>
      <w:r w:rsidR="00BA1D1F">
        <w:rPr>
          <w:color w:val="000000" w:themeColor="text1"/>
          <w:u w:color="000000" w:themeColor="text1"/>
        </w:rPr>
        <w:noBreakHyphen/>
      </w:r>
      <w:r w:rsidR="00211A38">
        <w:rPr>
          <w:color w:val="000000" w:themeColor="text1"/>
          <w:u w:color="000000" w:themeColor="text1"/>
        </w:rPr>
        <w:t>two</w:t>
      </w:r>
      <w:r w:rsidR="00211A38" w:rsidRPr="00F26DED">
        <w:rPr>
          <w:color w:val="000000" w:themeColor="text1"/>
          <w:u w:color="000000" w:themeColor="text1"/>
        </w:rPr>
        <w:t xml:space="preserve"> municipalities in the region, have worked with, and utilized the services of, Catawba Regional COG to improve their communities and the lives of citizens residing therein</w:t>
      </w:r>
      <w:r w:rsidR="00211A38">
        <w:rPr>
          <w:color w:val="000000" w:themeColor="text1"/>
          <w:u w:color="000000" w:themeColor="text1"/>
        </w:rPr>
        <w:t>; 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4DC6">
        <w:rPr>
          <w:color w:val="000000" w:themeColor="text1"/>
          <w:u w:color="000000" w:themeColor="text1"/>
        </w:rPr>
        <w:t>ove</w:t>
      </w:r>
      <w:r w:rsidR="00C42D1E">
        <w:rPr>
          <w:color w:val="000000" w:themeColor="text1"/>
          <w:u w:color="000000" w:themeColor="text1"/>
        </w:rPr>
        <w:t>r its half</w:t>
      </w:r>
      <w:r w:rsidR="00BA1D1F">
        <w:rPr>
          <w:color w:val="000000" w:themeColor="text1"/>
          <w:u w:color="000000" w:themeColor="text1"/>
        </w:rPr>
        <w:noBreakHyphen/>
      </w:r>
      <w:r w:rsidR="00C42D1E">
        <w:rPr>
          <w:color w:val="000000" w:themeColor="text1"/>
          <w:u w:color="000000" w:themeColor="text1"/>
        </w:rPr>
        <w:t>century of service</w:t>
      </w:r>
      <w:r>
        <w:rPr>
          <w:color w:val="000000" w:themeColor="text1"/>
          <w:u w:color="000000" w:themeColor="text1"/>
        </w:rPr>
        <w:t xml:space="preserve">, it has </w:t>
      </w:r>
      <w:r w:rsidR="00731CA1">
        <w:rPr>
          <w:color w:val="000000" w:themeColor="text1"/>
          <w:u w:color="000000" w:themeColor="text1"/>
        </w:rPr>
        <w:t xml:space="preserve">successfully </w:t>
      </w:r>
      <w:r w:rsidRPr="00F26DED">
        <w:rPr>
          <w:color w:val="000000" w:themeColor="text1"/>
          <w:u w:color="000000" w:themeColor="text1"/>
        </w:rPr>
        <w:t xml:space="preserve">administered eight loan funds, lending more than $85 million to businesses and local governments across </w:t>
      </w:r>
      <w:r>
        <w:rPr>
          <w:color w:val="000000" w:themeColor="text1"/>
          <w:u w:color="000000" w:themeColor="text1"/>
        </w:rPr>
        <w:t>twenty</w:t>
      </w:r>
      <w:r w:rsidR="00BA1D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South Carolina</w:t>
      </w:r>
      <w:r w:rsidRPr="00F26DED">
        <w:rPr>
          <w:color w:val="000000" w:themeColor="text1"/>
          <w:u w:color="000000" w:themeColor="text1"/>
        </w:rPr>
        <w:t xml:space="preserve"> counties, leveraging $165 million in private investment, and creating </w:t>
      </w:r>
      <w:r w:rsidR="009D4DC6">
        <w:rPr>
          <w:color w:val="000000" w:themeColor="text1"/>
          <w:u w:color="000000" w:themeColor="text1"/>
        </w:rPr>
        <w:t xml:space="preserve">more than </w:t>
      </w:r>
      <w:r w:rsidRPr="00F26DED">
        <w:rPr>
          <w:color w:val="000000" w:themeColor="text1"/>
          <w:u w:color="000000" w:themeColor="text1"/>
        </w:rPr>
        <w:t>3,100</w:t>
      </w:r>
      <w:r w:rsidR="009D4DC6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 xml:space="preserve">jobs across the region and </w:t>
      </w:r>
      <w:r>
        <w:rPr>
          <w:color w:val="000000" w:themeColor="text1"/>
          <w:u w:color="000000" w:themeColor="text1"/>
        </w:rPr>
        <w:t>S</w:t>
      </w:r>
      <w:r w:rsidRPr="00F26DED">
        <w:rPr>
          <w:color w:val="000000" w:themeColor="text1"/>
          <w:u w:color="000000" w:themeColor="text1"/>
        </w:rPr>
        <w:t xml:space="preserve">tate; </w:t>
      </w:r>
      <w:r>
        <w:rPr>
          <w:color w:val="000000" w:themeColor="text1"/>
          <w:u w:color="000000" w:themeColor="text1"/>
        </w:rPr>
        <w:t>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it has</w:t>
      </w:r>
      <w:r w:rsidR="0009070B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 xml:space="preserve">administered a statewide Brownfield Cleanup Loan Fund and over the past </w:t>
      </w:r>
      <w:r>
        <w:rPr>
          <w:color w:val="000000" w:themeColor="text1"/>
          <w:u w:color="000000" w:themeColor="text1"/>
        </w:rPr>
        <w:t>fifteen</w:t>
      </w:r>
      <w:r w:rsidRPr="00F26DED">
        <w:rPr>
          <w:color w:val="000000" w:themeColor="text1"/>
          <w:u w:color="000000" w:themeColor="text1"/>
        </w:rPr>
        <w:t xml:space="preserve"> years has originated more than $11 million in loans and subgrants to finance the remediation of brownfield sites in </w:t>
      </w:r>
      <w:r>
        <w:rPr>
          <w:color w:val="000000" w:themeColor="text1"/>
          <w:u w:color="000000" w:themeColor="text1"/>
        </w:rPr>
        <w:t>the Palmetto State</w:t>
      </w:r>
      <w:r w:rsidRPr="00F26DED">
        <w:rPr>
          <w:color w:val="000000" w:themeColor="text1"/>
          <w:u w:color="000000" w:themeColor="text1"/>
        </w:rPr>
        <w:t>. The COG has administered more than $1 million in U.S. Environmental Protection Agency Assessment grants, resulting in the environmental testing of dozens of contaminated parcels across the region, thereby setting the stage for envi</w:t>
      </w:r>
      <w:r>
        <w:rPr>
          <w:color w:val="000000" w:themeColor="text1"/>
          <w:u w:color="000000" w:themeColor="text1"/>
        </w:rPr>
        <w:t>ronmental cleanup and future re</w:t>
      </w:r>
      <w:r w:rsidRPr="00F26DED">
        <w:rPr>
          <w:color w:val="000000" w:themeColor="text1"/>
          <w:u w:color="000000" w:themeColor="text1"/>
        </w:rPr>
        <w:t xml:space="preserve">development; </w:t>
      </w:r>
      <w:r>
        <w:rPr>
          <w:color w:val="000000" w:themeColor="text1"/>
          <w:u w:color="000000" w:themeColor="text1"/>
        </w:rPr>
        <w:t>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2A64">
        <w:rPr>
          <w:color w:val="000000" w:themeColor="text1"/>
          <w:u w:color="000000" w:themeColor="text1"/>
        </w:rPr>
        <w:t>the COG</w:t>
      </w:r>
      <w:r w:rsidRPr="00F26D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F26DED">
        <w:rPr>
          <w:color w:val="000000" w:themeColor="text1"/>
          <w:u w:color="000000" w:themeColor="text1"/>
        </w:rPr>
        <w:t xml:space="preserve">has successfully written and administered more than $245 million </w:t>
      </w:r>
      <w:r>
        <w:rPr>
          <w:color w:val="000000" w:themeColor="text1"/>
          <w:u w:color="000000" w:themeColor="text1"/>
        </w:rPr>
        <w:t>in</w:t>
      </w:r>
      <w:r w:rsidRPr="00F26DED">
        <w:rPr>
          <w:color w:val="000000" w:themeColor="text1"/>
          <w:u w:color="000000" w:themeColor="text1"/>
        </w:rPr>
        <w:t xml:space="preserve"> federal, state, and local grants for local </w:t>
      </w:r>
      <w:r w:rsidRPr="00F26DED">
        <w:rPr>
          <w:color w:val="000000" w:themeColor="text1"/>
          <w:u w:color="000000" w:themeColor="text1"/>
        </w:rPr>
        <w:lastRenderedPageBreak/>
        <w:t>governments, special</w:t>
      </w:r>
      <w:r w:rsidR="00670205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>purpose districts, educational institutions, and communities in the Catawba region. These funds have improved water and sewer systems, electrical systems, parks, fire</w:t>
      </w:r>
      <w:r w:rsidR="00670205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>suppression capacity, downtown streetscapes</w:t>
      </w:r>
      <w:r>
        <w:rPr>
          <w:color w:val="000000" w:themeColor="text1"/>
          <w:u w:color="000000" w:themeColor="text1"/>
        </w:rPr>
        <w:t>,</w:t>
      </w:r>
      <w:r w:rsidRPr="00F26DED">
        <w:rPr>
          <w:color w:val="000000" w:themeColor="text1"/>
          <w:u w:color="000000" w:themeColor="text1"/>
        </w:rPr>
        <w:t xml:space="preserve"> and other commercial corridors, and </w:t>
      </w:r>
      <w:r>
        <w:rPr>
          <w:color w:val="000000" w:themeColor="text1"/>
          <w:u w:color="000000" w:themeColor="text1"/>
        </w:rPr>
        <w:t xml:space="preserve">they have </w:t>
      </w:r>
      <w:r w:rsidRPr="00F26DED">
        <w:rPr>
          <w:color w:val="000000" w:themeColor="text1"/>
          <w:u w:color="000000" w:themeColor="text1"/>
        </w:rPr>
        <w:t>preserved historic structures</w:t>
      </w:r>
      <w:r>
        <w:rPr>
          <w:color w:val="000000" w:themeColor="text1"/>
          <w:u w:color="000000" w:themeColor="text1"/>
        </w:rPr>
        <w:t xml:space="preserve">; </w:t>
      </w:r>
      <w:r w:rsidR="003E2A64">
        <w:rPr>
          <w:color w:val="000000" w:themeColor="text1"/>
          <w:u w:color="000000" w:themeColor="text1"/>
        </w:rPr>
        <w:t>and</w:t>
      </w:r>
    </w:p>
    <w:p w:rsidR="003E2A64" w:rsidRDefault="003E2A64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1998, </w:t>
      </w:r>
      <w:r w:rsidRPr="00F26DED">
        <w:rPr>
          <w:color w:val="000000" w:themeColor="text1"/>
          <w:u w:color="000000" w:themeColor="text1"/>
        </w:rPr>
        <w:t>Catawba Regional has functioned as the administrat</w:t>
      </w:r>
      <w:r w:rsidR="00130EDC">
        <w:rPr>
          <w:color w:val="000000" w:themeColor="text1"/>
          <w:u w:color="000000" w:themeColor="text1"/>
        </w:rPr>
        <w:t>or</w:t>
      </w:r>
      <w:r w:rsidRPr="00F26DED">
        <w:rPr>
          <w:color w:val="000000" w:themeColor="text1"/>
          <w:u w:color="000000" w:themeColor="text1"/>
        </w:rPr>
        <w:t xml:space="preserve"> for the region</w:t>
      </w:r>
      <w:r w:rsidR="00BA1D1F">
        <w:rPr>
          <w:color w:val="000000" w:themeColor="text1"/>
          <w:u w:color="000000" w:themeColor="text1"/>
        </w:rPr>
        <w:t>’</w:t>
      </w:r>
      <w:r w:rsidRPr="00F26DED">
        <w:rPr>
          <w:color w:val="000000" w:themeColor="text1"/>
          <w:u w:color="000000" w:themeColor="text1"/>
        </w:rPr>
        <w:t>s Workforce Development Board and Workforce Innovation and Opportuni</w:t>
      </w:r>
      <w:r>
        <w:rPr>
          <w:color w:val="000000" w:themeColor="text1"/>
          <w:u w:color="000000" w:themeColor="text1"/>
        </w:rPr>
        <w:t>ty Act (WIOA) funding</w:t>
      </w:r>
      <w:r w:rsidRPr="00F26DED">
        <w:rPr>
          <w:color w:val="000000" w:themeColor="text1"/>
          <w:u w:color="000000" w:themeColor="text1"/>
        </w:rPr>
        <w:t>, with more than $92 million of federal WIOA funds managed and deployed for workforce training, technical assistance, job</w:t>
      </w:r>
      <w:r w:rsidR="008F3122">
        <w:rPr>
          <w:color w:val="000000" w:themeColor="text1"/>
          <w:u w:color="000000" w:themeColor="text1"/>
        </w:rPr>
        <w:t xml:space="preserve"> placement</w:t>
      </w:r>
      <w:r w:rsidRPr="00F26DED">
        <w:rPr>
          <w:color w:val="000000" w:themeColor="text1"/>
          <w:u w:color="000000" w:themeColor="text1"/>
        </w:rPr>
        <w:t xml:space="preserve">, and operations of three </w:t>
      </w:r>
      <w:r w:rsidR="00130EDC">
        <w:rPr>
          <w:color w:val="000000" w:themeColor="text1"/>
          <w:u w:color="000000" w:themeColor="text1"/>
        </w:rPr>
        <w:t>state</w:t>
      </w:r>
      <w:r w:rsidRPr="00F26DED">
        <w:rPr>
          <w:color w:val="000000" w:themeColor="text1"/>
          <w:u w:color="000000" w:themeColor="text1"/>
        </w:rPr>
        <w:t xml:space="preserve"> </w:t>
      </w:r>
      <w:r w:rsidR="00130EDC">
        <w:rPr>
          <w:color w:val="000000" w:themeColor="text1"/>
          <w:u w:color="000000" w:themeColor="text1"/>
        </w:rPr>
        <w:t>w</w:t>
      </w:r>
      <w:r w:rsidRPr="00F26DED">
        <w:rPr>
          <w:color w:val="000000" w:themeColor="text1"/>
          <w:u w:color="000000" w:themeColor="text1"/>
        </w:rPr>
        <w:t xml:space="preserve">orks </w:t>
      </w:r>
      <w:r w:rsidR="00130EDC">
        <w:rPr>
          <w:color w:val="000000" w:themeColor="text1"/>
          <w:u w:color="000000" w:themeColor="text1"/>
        </w:rPr>
        <w:t>c</w:t>
      </w:r>
      <w:r w:rsidRPr="00F26DED">
        <w:rPr>
          <w:color w:val="000000" w:themeColor="text1"/>
          <w:u w:color="000000" w:themeColor="text1"/>
        </w:rPr>
        <w:t>enters</w:t>
      </w:r>
      <w:r>
        <w:rPr>
          <w:color w:val="000000" w:themeColor="text1"/>
          <w:u w:color="000000" w:themeColor="text1"/>
        </w:rPr>
        <w:t>; 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3EC" w:rsidRPr="0035346E" w:rsidRDefault="00FE03EC" w:rsidP="00FE0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46E">
        <w:rPr>
          <w:color w:val="000000" w:themeColor="text1"/>
          <w:u w:color="000000" w:themeColor="text1"/>
        </w:rPr>
        <w:t>Whereas, in partnership with the twenty</w:t>
      </w:r>
      <w:r w:rsidR="00BA1D1F">
        <w:rPr>
          <w:color w:val="000000" w:themeColor="text1"/>
          <w:u w:color="000000" w:themeColor="text1"/>
        </w:rPr>
        <w:noBreakHyphen/>
      </w:r>
      <w:r w:rsidRPr="0035346E">
        <w:rPr>
          <w:color w:val="000000" w:themeColor="text1"/>
          <w:u w:color="000000" w:themeColor="text1"/>
        </w:rPr>
        <w:t>six local governments across the region, the COG has enhanced local planning efforts by providing technical services and efficiencies and coordinating work with adjacent jurisdictions. The COG also acts as a neutral convenor of elected officials and the private sector. Through the COG</w:t>
      </w:r>
      <w:r w:rsidR="00BA1D1F">
        <w:rPr>
          <w:color w:val="000000" w:themeColor="text1"/>
          <w:u w:color="000000" w:themeColor="text1"/>
        </w:rPr>
        <w:t>’</w:t>
      </w:r>
      <w:r w:rsidRPr="0035346E">
        <w:rPr>
          <w:color w:val="000000" w:themeColor="text1"/>
          <w:u w:color="000000" w:themeColor="text1"/>
        </w:rPr>
        <w:t>s efforts, the four counties have benefited from $397 million in federal and state capital brought to the region, resulting in a cumulative return on local taxpayer investment of $50.00 to $1.00; an</w:t>
      </w:r>
      <w:r>
        <w:rPr>
          <w:color w:val="000000" w:themeColor="text1"/>
          <w:u w:color="000000" w:themeColor="text1"/>
        </w:rPr>
        <w:t>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436C">
        <w:rPr>
          <w:color w:val="000000" w:themeColor="text1"/>
          <w:u w:color="000000" w:themeColor="text1"/>
        </w:rPr>
        <w:t>t</w:t>
      </w:r>
      <w:r w:rsidRPr="00F26DE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F26DED">
        <w:rPr>
          <w:color w:val="000000" w:themeColor="text1"/>
          <w:u w:color="000000" w:themeColor="text1"/>
        </w:rPr>
        <w:t xml:space="preserve">ouncil has grown from a single staff member with shared office space to more than </w:t>
      </w:r>
      <w:r>
        <w:rPr>
          <w:color w:val="000000" w:themeColor="text1"/>
          <w:u w:color="000000" w:themeColor="text1"/>
        </w:rPr>
        <w:t>twenty</w:t>
      </w:r>
      <w:r w:rsidR="00BA1D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F26DED">
        <w:rPr>
          <w:color w:val="000000" w:themeColor="text1"/>
          <w:u w:color="000000" w:themeColor="text1"/>
        </w:rPr>
        <w:t xml:space="preserve"> professionals on staff</w:t>
      </w:r>
      <w:r w:rsidR="00BF748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</w:t>
      </w:r>
      <w:r w:rsidRPr="00F26DED">
        <w:rPr>
          <w:color w:val="000000" w:themeColor="text1"/>
          <w:u w:color="000000" w:themeColor="text1"/>
        </w:rPr>
        <w:t>current</w:t>
      </w:r>
      <w:r>
        <w:rPr>
          <w:color w:val="000000" w:themeColor="text1"/>
          <w:u w:color="000000" w:themeColor="text1"/>
        </w:rPr>
        <w:t>ly</w:t>
      </w:r>
      <w:r w:rsidRPr="00F26DED">
        <w:rPr>
          <w:color w:val="000000" w:themeColor="text1"/>
          <w:u w:color="000000" w:themeColor="text1"/>
        </w:rPr>
        <w:t xml:space="preserve"> manag</w:t>
      </w:r>
      <w:r>
        <w:rPr>
          <w:color w:val="000000" w:themeColor="text1"/>
          <w:u w:color="000000" w:themeColor="text1"/>
        </w:rPr>
        <w:t>e</w:t>
      </w:r>
      <w:r w:rsidRPr="00F26DED">
        <w:rPr>
          <w:color w:val="000000" w:themeColor="text1"/>
          <w:u w:color="000000" w:themeColor="text1"/>
        </w:rPr>
        <w:t xml:space="preserve"> more than $60 million of lending, grants, and real estate assets</w:t>
      </w:r>
      <w:r>
        <w:rPr>
          <w:color w:val="000000" w:themeColor="text1"/>
          <w:u w:color="000000" w:themeColor="text1"/>
        </w:rPr>
        <w:t>; 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7D7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finally, </w:t>
      </w:r>
      <w:r w:rsidR="00EF436C">
        <w:rPr>
          <w:color w:val="000000" w:themeColor="text1"/>
          <w:u w:color="000000" w:themeColor="text1"/>
        </w:rPr>
        <w:t>the COG</w:t>
      </w:r>
      <w:r w:rsidRPr="00F26DED">
        <w:rPr>
          <w:color w:val="000000" w:themeColor="text1"/>
          <w:u w:color="000000" w:themeColor="text1"/>
        </w:rPr>
        <w:t xml:space="preserve"> strives for excellence</w:t>
      </w:r>
      <w:r w:rsidR="00EF436C">
        <w:rPr>
          <w:color w:val="000000" w:themeColor="text1"/>
          <w:u w:color="000000" w:themeColor="text1"/>
        </w:rPr>
        <w:t xml:space="preserve">. </w:t>
      </w:r>
      <w:r w:rsidRPr="00F26DED">
        <w:rPr>
          <w:color w:val="000000" w:themeColor="text1"/>
          <w:u w:color="000000" w:themeColor="text1"/>
        </w:rPr>
        <w:t xml:space="preserve">In the past </w:t>
      </w:r>
      <w:r>
        <w:rPr>
          <w:color w:val="000000" w:themeColor="text1"/>
          <w:u w:color="000000" w:themeColor="text1"/>
        </w:rPr>
        <w:t>twenty</w:t>
      </w:r>
      <w:r w:rsidRPr="00F26DED">
        <w:rPr>
          <w:color w:val="000000" w:themeColor="text1"/>
          <w:u w:color="000000" w:themeColor="text1"/>
        </w:rPr>
        <w:t xml:space="preserve"> years, </w:t>
      </w:r>
      <w:r w:rsidR="00EF436C">
        <w:rPr>
          <w:color w:val="000000" w:themeColor="text1"/>
          <w:u w:color="000000" w:themeColor="text1"/>
        </w:rPr>
        <w:t xml:space="preserve">it </w:t>
      </w:r>
      <w:r w:rsidRPr="00F26DED">
        <w:rPr>
          <w:color w:val="000000" w:themeColor="text1"/>
          <w:u w:color="000000" w:themeColor="text1"/>
        </w:rPr>
        <w:t>has been a nine</w:t>
      </w:r>
      <w:r w:rsidR="00BA1D1F">
        <w:rPr>
          <w:color w:val="000000" w:themeColor="text1"/>
          <w:u w:color="000000" w:themeColor="text1"/>
        </w:rPr>
        <w:noBreakHyphen/>
      </w:r>
      <w:r w:rsidRPr="00F26DED">
        <w:rPr>
          <w:color w:val="000000" w:themeColor="text1"/>
          <w:u w:color="000000" w:themeColor="text1"/>
        </w:rPr>
        <w:t xml:space="preserve">time winner of the National Association </w:t>
      </w:r>
      <w:r>
        <w:rPr>
          <w:color w:val="000000" w:themeColor="text1"/>
          <w:u w:color="000000" w:themeColor="text1"/>
        </w:rPr>
        <w:t>of Development Organizations</w:t>
      </w:r>
      <w:r w:rsidR="00BA1D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>Innovation/Impact Award</w:t>
      </w:r>
      <w:r w:rsidR="00EA7137">
        <w:rPr>
          <w:color w:val="000000" w:themeColor="text1"/>
          <w:u w:color="000000" w:themeColor="text1"/>
        </w:rPr>
        <w:t xml:space="preserve">. The </w:t>
      </w:r>
      <w:r>
        <w:rPr>
          <w:color w:val="000000" w:themeColor="text1"/>
          <w:u w:color="000000" w:themeColor="text1"/>
        </w:rPr>
        <w:t xml:space="preserve">council has received the </w:t>
      </w:r>
      <w:r w:rsidR="00EF436C">
        <w:rPr>
          <w:color w:val="000000" w:themeColor="text1"/>
          <w:u w:color="000000" w:themeColor="text1"/>
        </w:rPr>
        <w:t>South Carolina</w:t>
      </w:r>
      <w:r w:rsidR="00EF436C" w:rsidRPr="00F26DED">
        <w:rPr>
          <w:color w:val="000000" w:themeColor="text1"/>
          <w:u w:color="000000" w:themeColor="text1"/>
        </w:rPr>
        <w:t xml:space="preserve"> Association of Regional Councils</w:t>
      </w:r>
      <w:r w:rsidR="00BA1D1F">
        <w:rPr>
          <w:color w:val="000000" w:themeColor="text1"/>
          <w:u w:color="000000" w:themeColor="text1"/>
        </w:rPr>
        <w:t>’</w:t>
      </w:r>
      <w:r w:rsidR="00EF436C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>COG Project of the Year award nine times</w:t>
      </w:r>
      <w:r>
        <w:rPr>
          <w:color w:val="000000" w:themeColor="text1"/>
          <w:u w:color="000000" w:themeColor="text1"/>
        </w:rPr>
        <w:t>,</w:t>
      </w:r>
      <w:r w:rsidRPr="00F26DED">
        <w:rPr>
          <w:color w:val="000000" w:themeColor="text1"/>
          <w:u w:color="000000" w:themeColor="text1"/>
        </w:rPr>
        <w:t xml:space="preserve"> as we</w:t>
      </w:r>
      <w:r>
        <w:rPr>
          <w:color w:val="000000" w:themeColor="text1"/>
          <w:u w:color="000000" w:themeColor="text1"/>
        </w:rPr>
        <w:t>ll</w:t>
      </w:r>
      <w:r w:rsidR="00F007D7">
        <w:rPr>
          <w:color w:val="000000" w:themeColor="text1"/>
          <w:u w:color="000000" w:themeColor="text1"/>
        </w:rPr>
        <w:t>; and</w:t>
      </w:r>
    </w:p>
    <w:p w:rsidR="00F007D7" w:rsidRDefault="00F007D7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84D" w:rsidRDefault="00F007D7" w:rsidP="00F00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great pleasure, the House salutes C</w:t>
      </w:r>
      <w:r w:rsidR="006C4BFF">
        <w:t xml:space="preserve">atawba Regional </w:t>
      </w:r>
      <w:r>
        <w:t>and extends best wishes for many more years of fine service to its member counties</w:t>
      </w:r>
      <w:r w:rsidR="00BF7483">
        <w:t xml:space="preserve"> and beyond</w:t>
      </w:r>
      <w:r>
        <w:t xml:space="preserve">. </w:t>
      </w:r>
      <w:r w:rsidR="000B184D">
        <w:t>Now, therefore,</w:t>
      </w: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07D7">
        <w:t xml:space="preserve"> </w:t>
      </w:r>
      <w:r w:rsidR="00F007D7">
        <w:rPr>
          <w:color w:val="000000" w:themeColor="text1"/>
        </w:rPr>
        <w:t xml:space="preserve">the members of the South Carolina House of Representatives, by this resolution, </w:t>
      </w:r>
      <w:r w:rsidR="00F007D7">
        <w:t>honor and congratulate Catawba Regional Council of Governments at the celebration of its fiftieth anniversary of service to Chester, Lancaster, Union, and York counties.</w:t>
      </w: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007D7">
        <w:t xml:space="preserve"> </w:t>
      </w:r>
      <w:r w:rsidR="00DE5708">
        <w:t>Catawba Regional Council of Governments.</w:t>
      </w:r>
    </w:p>
    <w:p w:rsidR="001024D5" w:rsidRDefault="00BA1D1F" w:rsidP="00A87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85B" w:rsidRDefault="0019485B" w:rsidP="0019485B">
      <w:pPr>
        <w:suppressAutoHyphens/>
      </w:pPr>
    </w:p>
    <w:sectPr w:rsidR="0019485B" w:rsidSect="001948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0F9" w:rsidRDefault="004060F9" w:rsidP="009F0C77">
      <w:r>
        <w:separator/>
      </w:r>
    </w:p>
  </w:endnote>
  <w:endnote w:type="continuationSeparator" w:id="0">
    <w:p w:rsidR="004060F9" w:rsidRDefault="00406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90E282-0A51-4BA2-B5AA-B6C6E7934EAF}"/>
    <w:embedBold r:id="rId2" w:fontKey="{F684AC31-C739-406E-95CD-444229638F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495498-5D10-4AB6-9270-2AB71E430D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B19A11-797E-4D7B-83D8-E5EAA00A2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9CF4B6-1C6E-486A-ABCF-C514390F6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9FD" w:rsidRPr="0019485B" w:rsidRDefault="0019485B" w:rsidP="001948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0F9" w:rsidRDefault="004060F9" w:rsidP="009F0C77">
      <w:r>
        <w:separator/>
      </w:r>
    </w:p>
  </w:footnote>
  <w:footnote w:type="continuationSeparator" w:id="0">
    <w:p w:rsidR="004060F9" w:rsidRDefault="00406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1ZW21"/>
    <w:docVar w:name="CoverBillType" w:val="r"/>
    <w:docVar w:name="DocPath" w:val="L:\Council\bills\RM\1251ZW21.DOCX"/>
    <w:docVar w:name="dvBillNumber" w:val="4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184D"/>
    <w:rsid w:val="00011869"/>
    <w:rsid w:val="00015CD6"/>
    <w:rsid w:val="0009070B"/>
    <w:rsid w:val="00096665"/>
    <w:rsid w:val="000B184D"/>
    <w:rsid w:val="000E0100"/>
    <w:rsid w:val="000E0D4A"/>
    <w:rsid w:val="000E1785"/>
    <w:rsid w:val="000F40FA"/>
    <w:rsid w:val="001024D5"/>
    <w:rsid w:val="001035F1"/>
    <w:rsid w:val="0010776B"/>
    <w:rsid w:val="00130EDC"/>
    <w:rsid w:val="00133E66"/>
    <w:rsid w:val="001435A3"/>
    <w:rsid w:val="00146ED3"/>
    <w:rsid w:val="00151044"/>
    <w:rsid w:val="00152DB3"/>
    <w:rsid w:val="0019485B"/>
    <w:rsid w:val="001B05F2"/>
    <w:rsid w:val="001D08F2"/>
    <w:rsid w:val="001D3A58"/>
    <w:rsid w:val="001D525B"/>
    <w:rsid w:val="001D7F4F"/>
    <w:rsid w:val="00205238"/>
    <w:rsid w:val="00211A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A64"/>
    <w:rsid w:val="003E5288"/>
    <w:rsid w:val="003F6D79"/>
    <w:rsid w:val="004060F9"/>
    <w:rsid w:val="0041760A"/>
    <w:rsid w:val="00417C01"/>
    <w:rsid w:val="004403BD"/>
    <w:rsid w:val="00461441"/>
    <w:rsid w:val="004756A8"/>
    <w:rsid w:val="004809EE"/>
    <w:rsid w:val="004A6EC5"/>
    <w:rsid w:val="004E352C"/>
    <w:rsid w:val="004E7D54"/>
    <w:rsid w:val="005273C6"/>
    <w:rsid w:val="00530A69"/>
    <w:rsid w:val="00545593"/>
    <w:rsid w:val="00556EBF"/>
    <w:rsid w:val="00577C6C"/>
    <w:rsid w:val="005A62FE"/>
    <w:rsid w:val="005B11E3"/>
    <w:rsid w:val="005C2FE2"/>
    <w:rsid w:val="005D7186"/>
    <w:rsid w:val="005E2BC9"/>
    <w:rsid w:val="00605102"/>
    <w:rsid w:val="006215AA"/>
    <w:rsid w:val="00661EA2"/>
    <w:rsid w:val="00670205"/>
    <w:rsid w:val="006831FD"/>
    <w:rsid w:val="006913C9"/>
    <w:rsid w:val="0069470D"/>
    <w:rsid w:val="006C4BFF"/>
    <w:rsid w:val="006D58AA"/>
    <w:rsid w:val="00731CA1"/>
    <w:rsid w:val="00734F00"/>
    <w:rsid w:val="00736959"/>
    <w:rsid w:val="007A49FD"/>
    <w:rsid w:val="007A70AE"/>
    <w:rsid w:val="007E3F61"/>
    <w:rsid w:val="008362E8"/>
    <w:rsid w:val="0085786E"/>
    <w:rsid w:val="008A1768"/>
    <w:rsid w:val="008A489F"/>
    <w:rsid w:val="008A691A"/>
    <w:rsid w:val="008F0F33"/>
    <w:rsid w:val="008F3122"/>
    <w:rsid w:val="008F4429"/>
    <w:rsid w:val="00910323"/>
    <w:rsid w:val="0094021A"/>
    <w:rsid w:val="00957E1B"/>
    <w:rsid w:val="009B44AF"/>
    <w:rsid w:val="009C6A0B"/>
    <w:rsid w:val="009D4DC6"/>
    <w:rsid w:val="009F0C77"/>
    <w:rsid w:val="009F4DD1"/>
    <w:rsid w:val="00A02543"/>
    <w:rsid w:val="00A41684"/>
    <w:rsid w:val="00A64E80"/>
    <w:rsid w:val="00A72BCD"/>
    <w:rsid w:val="00A741D9"/>
    <w:rsid w:val="00A833AB"/>
    <w:rsid w:val="00A87582"/>
    <w:rsid w:val="00A9741D"/>
    <w:rsid w:val="00AB7DE6"/>
    <w:rsid w:val="00AC34A2"/>
    <w:rsid w:val="00AD1C9A"/>
    <w:rsid w:val="00AD4B17"/>
    <w:rsid w:val="00AE3BEE"/>
    <w:rsid w:val="00B34994"/>
    <w:rsid w:val="00B412D4"/>
    <w:rsid w:val="00B64FFF"/>
    <w:rsid w:val="00BA1D1F"/>
    <w:rsid w:val="00BD0DF7"/>
    <w:rsid w:val="00BE3C22"/>
    <w:rsid w:val="00BF7483"/>
    <w:rsid w:val="00C0345E"/>
    <w:rsid w:val="00C207C3"/>
    <w:rsid w:val="00C21ABE"/>
    <w:rsid w:val="00C31C95"/>
    <w:rsid w:val="00C3483A"/>
    <w:rsid w:val="00C42D1E"/>
    <w:rsid w:val="00C7310C"/>
    <w:rsid w:val="00C74E9D"/>
    <w:rsid w:val="00C826DD"/>
    <w:rsid w:val="00C82FD3"/>
    <w:rsid w:val="00C92819"/>
    <w:rsid w:val="00CC6B7B"/>
    <w:rsid w:val="00CD2089"/>
    <w:rsid w:val="00D73A67"/>
    <w:rsid w:val="00D970A9"/>
    <w:rsid w:val="00DC2D22"/>
    <w:rsid w:val="00DE5708"/>
    <w:rsid w:val="00DF3845"/>
    <w:rsid w:val="00E41911"/>
    <w:rsid w:val="00E44B57"/>
    <w:rsid w:val="00E92EEF"/>
    <w:rsid w:val="00EA7137"/>
    <w:rsid w:val="00EE5DD5"/>
    <w:rsid w:val="00EF2368"/>
    <w:rsid w:val="00EF436C"/>
    <w:rsid w:val="00F007D7"/>
    <w:rsid w:val="00F24442"/>
    <w:rsid w:val="00F50AE3"/>
    <w:rsid w:val="00F655B7"/>
    <w:rsid w:val="00F656BA"/>
    <w:rsid w:val="00F67CF1"/>
    <w:rsid w:val="00F728AA"/>
    <w:rsid w:val="00F840F0"/>
    <w:rsid w:val="00FA1ED5"/>
    <w:rsid w:val="00FB0D0D"/>
    <w:rsid w:val="00FB43B4"/>
    <w:rsid w:val="00FB6B0B"/>
    <w:rsid w:val="00FE03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68B73D-816F-40F8-AC23-DCFCC3B2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1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1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78F05-A709-4FC8-96FB-E04A489E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3461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4642 Text of Previous Version (Dec. 1, 2021) - South Carolina Legislature Online</dc:title>
  <dc:creator>Rosanne McDowell</dc:creator>
  <cp:lastModifiedBy>S Wilson</cp:lastModifiedBy>
  <cp:revision>2</cp:revision>
  <cp:lastPrinted>2021-08-26T14:25:00Z</cp:lastPrinted>
  <dcterms:created xsi:type="dcterms:W3CDTF">2021-12-01T20:21:00Z</dcterms:created>
  <dcterms:modified xsi:type="dcterms:W3CDTF">2021-12-01T20:21:00Z</dcterms:modified>
</cp:coreProperties>
</file>