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1A7" w:rsidRDefault="00431E2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431E20" w:rsidRDefault="00431E2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431E20" w:rsidRDefault="00431E2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right" w:pos="5933"/>
        </w:tabs>
        <w:suppressAutoHyphens/>
      </w:pPr>
      <w:r>
        <w:tab/>
      </w:r>
      <w:r>
        <w:rPr>
          <w:b/>
          <w:sz w:val="36"/>
        </w:rPr>
        <w:t>H. 4831</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Henegan and Murray</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6B1CFE"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A801A7">
        <w:t>/22--S.</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01A7"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1"/>
    </w:p>
    <w:p w:rsidR="00A17D26" w:rsidRDefault="00A17D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SECTION</w:t>
      </w:r>
      <w:r w:rsidRPr="00431E20">
        <w:rPr>
          <w:rFonts w:eastAsia="Calibri"/>
          <w:szCs w:val="22"/>
          <w:u w:color="000000"/>
        </w:rPr>
        <w:tab/>
        <w:t>1.</w:t>
      </w:r>
      <w:r w:rsidRPr="00431E20">
        <w:rPr>
          <w:rFonts w:eastAsia="Calibri"/>
          <w:szCs w:val="22"/>
          <w:u w:color="000000"/>
        </w:rPr>
        <w:tab/>
        <w:t>(</w:t>
      </w:r>
      <w:bookmarkStart w:id="5" w:name="temp"/>
      <w:bookmarkEnd w:id="5"/>
      <w:r w:rsidRPr="00431E20">
        <w:rPr>
          <w:rFonts w:eastAsia="Calibri"/>
          <w:szCs w:val="22"/>
          <w:u w:color="000000"/>
        </w:rPr>
        <w:t>A)</w:t>
      </w:r>
      <w:r w:rsidRPr="00431E20">
        <w:rPr>
          <w:rFonts w:eastAsia="Calibri"/>
          <w:szCs w:val="22"/>
          <w:u w:color="000000"/>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wind energy supply chain industries to the State. This study will build upon South Carolina’s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t>(B)</w:t>
      </w:r>
      <w:r w:rsidRPr="00431E20">
        <w:rPr>
          <w:rFonts w:eastAsia="Calibri"/>
          <w:szCs w:val="22"/>
          <w:u w:color="000000"/>
        </w:rPr>
        <w:tab/>
        <w:t>To the extent necessary to carry out study responsibilities, the department is authorized to employ third</w:t>
      </w:r>
      <w:r w:rsidRPr="00431E20">
        <w:rPr>
          <w:rFonts w:eastAsia="Calibri"/>
          <w:szCs w:val="22"/>
          <w:u w:color="000000"/>
        </w:rPr>
        <w:noBreakHyphen/>
        <w:t>party consultants and industry experts, by contract or otherwise, as the department may consider necessary to assist in the proper discharge of the responsibility as provided by this section.</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lastRenderedPageBreak/>
        <w:tab/>
        <w:t>(C)</w:t>
      </w:r>
      <w:r w:rsidRPr="00431E20">
        <w:rPr>
          <w:rFonts w:eastAsia="Calibri"/>
          <w:szCs w:val="22"/>
          <w:u w:color="000000"/>
        </w:rPr>
        <w:tab/>
        <w:t>In conducting the economic development study and in creating a roadmap, the department must consider at least all of the following:</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(1)</w:t>
      </w:r>
      <w:r w:rsidRPr="00431E20">
        <w:rPr>
          <w:rFonts w:eastAsia="Calibri"/>
          <w:szCs w:val="22"/>
          <w:u w:color="000000"/>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(2)</w:t>
      </w:r>
      <w:r w:rsidRPr="00431E20">
        <w:rPr>
          <w:rFonts w:eastAsia="Calibri"/>
          <w:szCs w:val="22"/>
          <w:u w:color="000000"/>
        </w:rPr>
        <w:tab/>
        <w:t>estimated number and type of direct manufacturing jobs;</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(3)</w:t>
      </w:r>
      <w:r w:rsidRPr="00431E20">
        <w:rPr>
          <w:rFonts w:eastAsia="Calibri"/>
          <w:szCs w:val="22"/>
          <w:u w:color="000000"/>
        </w:rPr>
        <w:tab/>
        <w:t>potential ancillary economic benefits;</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(4)</w:t>
      </w:r>
      <w:r w:rsidRPr="00431E20">
        <w:rPr>
          <w:rFonts w:eastAsia="Calibri"/>
          <w:szCs w:val="22"/>
          <w:u w:color="000000"/>
        </w:rPr>
        <w:tab/>
        <w:t>potential industry investment in South Carolina and opportunities for rural economic development;</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(5)</w:t>
      </w:r>
      <w:r w:rsidRPr="00431E20">
        <w:rPr>
          <w:rFonts w:eastAsia="Calibri"/>
          <w:szCs w:val="22"/>
          <w:u w:color="000000"/>
        </w:rPr>
        <w:tab/>
        <w:t>highest impact investment opportunities to produce the largest net economic benefit;</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(6)</w:t>
      </w:r>
      <w:r w:rsidRPr="00431E20">
        <w:rPr>
          <w:rFonts w:eastAsia="Calibri"/>
          <w:szCs w:val="22"/>
          <w:u w:color="000000"/>
        </w:rPr>
        <w:tab/>
        <w:t>potential benefits to local tax bases;</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(7)</w:t>
      </w:r>
      <w:r w:rsidRPr="00431E20">
        <w:rPr>
          <w:rFonts w:eastAsia="Calibri"/>
          <w:szCs w:val="22"/>
          <w:u w:color="000000"/>
        </w:rPr>
        <w:tab/>
        <w:t>expected additional contribution to state economic output;</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(8)</w:t>
      </w:r>
      <w:r w:rsidRPr="00431E20">
        <w:rPr>
          <w:rFonts w:eastAsia="Calibri"/>
          <w:szCs w:val="22"/>
          <w:u w:color="000000"/>
        </w:rPr>
        <w:tab/>
        <w:t>any additional information the department identifies as relevant to the conduct of its study; and</w:t>
      </w: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ab/>
      </w:r>
      <w:r w:rsidRPr="00431E20">
        <w:rPr>
          <w:rFonts w:eastAsia="Calibri"/>
          <w:szCs w:val="22"/>
          <w:u w:color="000000"/>
        </w:rPr>
        <w:tab/>
        <w:t>(9)</w:t>
      </w:r>
      <w:r w:rsidRPr="00431E20">
        <w:rPr>
          <w:rFonts w:eastAsia="Calibri"/>
          <w:szCs w:val="22"/>
          <w:u w:color="000000"/>
        </w:rPr>
        <w:tab/>
        <w:t>actionable next steps the State should take to recruit new, and assist the expansion of existing offshore wind supply chain companies, in order to capitalize on the 109 billion dollar offshore wind industry.</w:t>
      </w:r>
    </w:p>
    <w:p w:rsid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SECTION</w:t>
      </w:r>
      <w:r w:rsidRPr="00431E20">
        <w:rPr>
          <w:rFonts w:eastAsia="Calibri"/>
          <w:szCs w:val="22"/>
          <w:u w:color="000000"/>
        </w:rPr>
        <w:tab/>
        <w:t>2.</w:t>
      </w:r>
      <w:r w:rsidRPr="00431E20">
        <w:rPr>
          <w:rFonts w:eastAsia="Calibri"/>
          <w:szCs w:val="22"/>
          <w:u w:color="000000"/>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SECTION</w:t>
      </w:r>
      <w:r w:rsidRPr="00431E20">
        <w:rPr>
          <w:rFonts w:eastAsia="Calibri"/>
          <w:szCs w:val="22"/>
          <w:u w:color="000000"/>
        </w:rPr>
        <w:tab/>
        <w:t>3.</w:t>
      </w:r>
      <w:r w:rsidRPr="00431E20">
        <w:rPr>
          <w:rFonts w:eastAsia="Calibri"/>
          <w:szCs w:val="22"/>
          <w:u w:color="000000"/>
        </w:rPr>
        <w:tab/>
        <w:t>Implementation of the provisions of this joint resolution is contingent upon funding by the General Assembly.</w:t>
      </w:r>
    </w:p>
    <w:p w:rsid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31E20" w:rsidRP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31E20">
        <w:rPr>
          <w:rFonts w:eastAsia="Calibri"/>
          <w:szCs w:val="22"/>
          <w:u w:color="000000"/>
        </w:rPr>
        <w:t>SECTION</w:t>
      </w:r>
      <w:r w:rsidRPr="00431E20">
        <w:rPr>
          <w:rFonts w:eastAsia="Calibri"/>
          <w:szCs w:val="22"/>
          <w:u w:color="000000"/>
        </w:rPr>
        <w:tab/>
      </w:r>
      <w:r w:rsidRPr="00431E20">
        <w:rPr>
          <w:rFonts w:eastAsia="Calibri"/>
          <w:snapToGrid w:val="0"/>
          <w:szCs w:val="22"/>
        </w:rPr>
        <w:t>4.</w:t>
      </w:r>
      <w:r w:rsidRPr="00431E20">
        <w:rPr>
          <w:rFonts w:eastAsia="Calibri"/>
          <w:snapToGrid w:val="0"/>
          <w:szCs w:val="22"/>
        </w:rPr>
        <w:tab/>
        <w:t>The provisions of this act are repealed on June 30, 2024.</w:t>
      </w:r>
    </w:p>
    <w:p w:rsid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431E20" w:rsidRDefault="00431E20" w:rsidP="0043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431E20">
        <w:rPr>
          <w:rFonts w:eastAsia="Calibri"/>
          <w:szCs w:val="22"/>
          <w:u w:color="000000"/>
        </w:rPr>
        <w:t>SECTION</w:t>
      </w:r>
      <w:r w:rsidRPr="00431E20">
        <w:rPr>
          <w:rFonts w:eastAsia="Calibri"/>
          <w:szCs w:val="22"/>
          <w:u w:color="000000"/>
        </w:rPr>
        <w:tab/>
        <w:t>5.</w:t>
      </w:r>
      <w:r w:rsidRPr="00431E20">
        <w:rPr>
          <w:rFonts w:eastAsia="Calibri"/>
          <w:szCs w:val="22"/>
          <w:u w:color="000000"/>
        </w:rPr>
        <w:tab/>
        <w:t>This joint resolution takes effect upon approval by the Governor.</w:t>
      </w:r>
    </w:p>
    <w:p w:rsidR="00431E20" w:rsidRDefault="00431E20"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31E20" w:rsidRPr="00431E20" w:rsidRDefault="00431E20" w:rsidP="00431E20">
      <w:pPr>
        <w:tabs>
          <w:tab w:val="left" w:pos="187"/>
          <w:tab w:val="left" w:pos="3240"/>
          <w:tab w:val="left" w:pos="3427"/>
        </w:tabs>
        <w:rPr>
          <w:spacing w:val="-16"/>
        </w:rPr>
      </w:pPr>
      <w:r w:rsidRPr="00431E20">
        <w:t>/s/Sen. Tom Davis</w:t>
      </w:r>
      <w:r w:rsidRPr="00431E20">
        <w:tab/>
      </w:r>
      <w:r w:rsidRPr="00431E20">
        <w:rPr>
          <w:spacing w:val="-16"/>
        </w:rPr>
        <w:t xml:space="preserve">/s/Rep. John Taliaferro “Jay” West </w:t>
      </w:r>
    </w:p>
    <w:p w:rsidR="00431E20" w:rsidRPr="00431E20" w:rsidRDefault="00431E20" w:rsidP="00431E20">
      <w:pPr>
        <w:tabs>
          <w:tab w:val="left" w:pos="187"/>
          <w:tab w:val="left" w:pos="3240"/>
          <w:tab w:val="left" w:pos="3427"/>
        </w:tabs>
      </w:pPr>
      <w:r w:rsidRPr="00431E20">
        <w:t>/s/Sen. Mike Reichenbach</w:t>
      </w:r>
      <w:r w:rsidRPr="00431E20">
        <w:tab/>
        <w:t>/s/Rep. Bart T. Blackwell</w:t>
      </w:r>
    </w:p>
    <w:p w:rsidR="00431E20" w:rsidRPr="00431E20" w:rsidRDefault="00431E20" w:rsidP="00431E20">
      <w:pPr>
        <w:tabs>
          <w:tab w:val="left" w:pos="187"/>
          <w:tab w:val="left" w:pos="3240"/>
          <w:tab w:val="left" w:pos="3427"/>
        </w:tabs>
      </w:pPr>
      <w:r w:rsidRPr="00431E20">
        <w:t>/s/Sen. Karl B. Allen</w:t>
      </w:r>
      <w:r w:rsidRPr="00431E20">
        <w:tab/>
        <w:t>/s/Rep. Russell L. Ott</w:t>
      </w:r>
    </w:p>
    <w:p w:rsidR="0083170D" w:rsidRDefault="00431E20" w:rsidP="00431E20">
      <w:pPr>
        <w:pStyle w:val="ConSign"/>
        <w:tabs>
          <w:tab w:val="clear" w:pos="216"/>
          <w:tab w:val="clear" w:pos="4680"/>
          <w:tab w:val="clear" w:pos="4896"/>
          <w:tab w:val="left" w:pos="187"/>
          <w:tab w:val="left" w:pos="3240"/>
          <w:tab w:val="left" w:pos="3427"/>
        </w:tabs>
        <w:spacing w:line="240" w:lineRule="auto"/>
      </w:pPr>
      <w:r w:rsidRPr="00431E20">
        <w:lastRenderedPageBreak/>
        <w:tab/>
        <w:t>On Part of the Senate.</w:t>
      </w:r>
      <w:r w:rsidRPr="00431E20">
        <w:tab/>
      </w:r>
      <w:r w:rsidRPr="00431E20">
        <w:tab/>
        <w:t>On Part of the House.</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DB8" w:rsidRDefault="00B05DB8" w:rsidP="00B05DB8">
      <w:pPr>
        <w:suppressAutoHyphens/>
      </w:pPr>
    </w:p>
    <w:sectPr w:rsidR="00B05DB8"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BE396F-D81F-46CA-9B8A-D32E24C2DE29}"/>
    <w:embedBold r:id="rId2" w:fontKey="{11DC6192-14D0-414C-AC35-52D3A8C9A263}"/>
  </w:font>
  <w:font w:name="Calibri">
    <w:panose1 w:val="020F0502020204030204"/>
    <w:charset w:val="00"/>
    <w:family w:val="swiss"/>
    <w:pitch w:val="variable"/>
    <w:sig w:usb0="E4002EFF" w:usb1="C000247B" w:usb2="00000009" w:usb3="00000000" w:csb0="000001FF" w:csb1="00000000"/>
    <w:embedRegular r:id="rId3" w:fontKey="{62319EAB-BD82-42C5-89A3-7232A64FC58A}"/>
  </w:font>
  <w:font w:name="Segoe UI">
    <w:panose1 w:val="020B0502040204020203"/>
    <w:charset w:val="00"/>
    <w:family w:val="swiss"/>
    <w:pitch w:val="variable"/>
    <w:sig w:usb0="E4002EFF" w:usb1="C000E47F" w:usb2="00000009" w:usb3="00000000" w:csb0="000001FF" w:csb1="00000000"/>
    <w:embedRegular r:id="rId4" w:fontKey="{A1C57384-1B96-40F5-B34D-E069774EE4FE}"/>
  </w:font>
  <w:font w:name="Cambria">
    <w:panose1 w:val="02040503050406030204"/>
    <w:charset w:val="00"/>
    <w:family w:val="roman"/>
    <w:pitch w:val="variable"/>
    <w:sig w:usb0="E00006FF" w:usb1="420024FF" w:usb2="02000000" w:usb3="00000000" w:csb0="0000019F" w:csb1="00000000"/>
    <w:embedRegular r:id="rId5" w:fontKey="{E019E54A-A69D-47DC-AB9B-76533AE96E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BA77B7">
      <w:rPr>
        <w:noProof/>
      </w:rPr>
      <w:t>1</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B05D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A4A9E"/>
    <w:rsid w:val="001B608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31E20"/>
    <w:rsid w:val="004403BD"/>
    <w:rsid w:val="00461067"/>
    <w:rsid w:val="00461441"/>
    <w:rsid w:val="004809EE"/>
    <w:rsid w:val="004D6558"/>
    <w:rsid w:val="004D6763"/>
    <w:rsid w:val="004E7D54"/>
    <w:rsid w:val="004F0103"/>
    <w:rsid w:val="005273C6"/>
    <w:rsid w:val="00530A69"/>
    <w:rsid w:val="00545593"/>
    <w:rsid w:val="00556EBF"/>
    <w:rsid w:val="00577C6C"/>
    <w:rsid w:val="00582304"/>
    <w:rsid w:val="005A62FE"/>
    <w:rsid w:val="005C2FE2"/>
    <w:rsid w:val="005E2BC9"/>
    <w:rsid w:val="00605102"/>
    <w:rsid w:val="006215AA"/>
    <w:rsid w:val="006913C9"/>
    <w:rsid w:val="0069470D"/>
    <w:rsid w:val="006B1CFE"/>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17D26"/>
    <w:rsid w:val="00A41684"/>
    <w:rsid w:val="00A64E80"/>
    <w:rsid w:val="00A72BCD"/>
    <w:rsid w:val="00A741D9"/>
    <w:rsid w:val="00A801A7"/>
    <w:rsid w:val="00A833AB"/>
    <w:rsid w:val="00A9741D"/>
    <w:rsid w:val="00AC34A2"/>
    <w:rsid w:val="00AD1C9A"/>
    <w:rsid w:val="00AD4B17"/>
    <w:rsid w:val="00AE11F2"/>
    <w:rsid w:val="00B05DB8"/>
    <w:rsid w:val="00B412D4"/>
    <w:rsid w:val="00B5736C"/>
    <w:rsid w:val="00B64FFF"/>
    <w:rsid w:val="00BA77B7"/>
    <w:rsid w:val="00BB7DD2"/>
    <w:rsid w:val="00BD690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 w:type="paragraph" w:customStyle="1" w:styleId="ConSign">
    <w:name w:val="ConSign"/>
    <w:basedOn w:val="Normal"/>
    <w:rsid w:val="00431E20"/>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2AF2C-DF59-4B79-B9A5-79B365E71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588</Words>
  <Characters>3298</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2021-2022 Bill 4831: Subject not yet available - South Carolina Legislature Online</vt:lpstr>
    </vt:vector>
  </TitlesOfParts>
  <Company>LPITS</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(Jun. 15, 2022) - South Carolina Legislature Online</dc:title>
  <dc:creator>Chris Charlton</dc:creator>
  <cp:lastModifiedBy>Derrick Williamson</cp:lastModifiedBy>
  <cp:revision>2</cp:revision>
  <cp:lastPrinted>2022-01-18T19:42:00Z</cp:lastPrinted>
  <dcterms:created xsi:type="dcterms:W3CDTF">2022-06-15T22:17:00Z</dcterms:created>
  <dcterms:modified xsi:type="dcterms:W3CDTF">2022-06-15T22:17:00Z</dcterms:modified>
</cp:coreProperties>
</file>