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56ABF" w14:textId="19E83CBD" w:rsidR="002C63FE"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D6EE384" w14:textId="6BCEE5F7" w:rsidR="00C655B2" w:rsidRP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191FFA6" w14:textId="685DC09B"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2E860" w14:textId="7E58B8AE"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CB1E3D9" w14:textId="602194E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14:paraId="5BCEE244" w14:textId="2B2964A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7242C" w14:textId="106632A4" w:rsidR="00C655B2" w:rsidRPr="00C655B2" w:rsidRDefault="00C655B2" w:rsidP="00C655B2">
      <w:pPr>
        <w:tabs>
          <w:tab w:val="right" w:pos="5933"/>
        </w:tabs>
        <w:suppressAutoHyphens/>
        <w:jc w:val="both"/>
        <w:rPr>
          <w:rFonts w:eastAsia="Times New Roman"/>
        </w:rPr>
      </w:pPr>
      <w:r>
        <w:rPr>
          <w:rFonts w:eastAsia="Times New Roman"/>
        </w:rPr>
        <w:tab/>
      </w:r>
      <w:r>
        <w:rPr>
          <w:rFonts w:eastAsia="Times New Roman"/>
          <w:b/>
          <w:sz w:val="36"/>
        </w:rPr>
        <w:t>S. 506</w:t>
      </w:r>
    </w:p>
    <w:p w14:paraId="4758E185" w14:textId="4141E909"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5E453" w14:textId="289C0930"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Fanning, Corbin, Alexander and Gustafson</w:t>
      </w:r>
    </w:p>
    <w:p w14:paraId="4877D7D7" w14:textId="7A971466"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6841E" w14:textId="2B975F4A" w:rsidR="00C655B2" w:rsidRDefault="00C655B2" w:rsidP="007D2B5F">
      <w:pPr>
        <w:tabs>
          <w:tab w:val="right" w:pos="5933"/>
        </w:tabs>
        <w:suppressAutoHyphens/>
        <w:jc w:val="both"/>
        <w:rPr>
          <w:rFonts w:eastAsia="Times New Roman"/>
        </w:rPr>
      </w:pPr>
      <w:r>
        <w:rPr>
          <w:rFonts w:eastAsia="Times New Roman"/>
        </w:rPr>
        <w:t>S. Printed 4/21/22--H.</w:t>
      </w:r>
      <w:r w:rsidR="007D2B5F">
        <w:rPr>
          <w:rFonts w:eastAsia="Times New Roman"/>
        </w:rPr>
        <w:tab/>
        <w:t>[SEC 4/25/22 4:24 PM]</w:t>
      </w:r>
    </w:p>
    <w:p w14:paraId="2B6337D2" w14:textId="1C1EDB4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018A5B8F" w14:textId="41D0A1D1"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14A7C17" w14:textId="628FA2FE"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CD50C" w14:textId="0128D709" w:rsid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16CE20C8" w14:textId="6D59E794"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6C6D5E20" w14:textId="70B98AC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w:t>
      </w:r>
      <w:r w:rsidRPr="00C655B2">
        <w:rPr>
          <w:color w:val="000000" w:themeColor="text1"/>
          <w:u w:color="000000" w:themeColor="text1"/>
        </w:rPr>
        <w:t xml:space="preserve">to amend </w:t>
      </w:r>
      <w:r>
        <w:rPr>
          <w:rFonts w:eastAsia="Times New Roman"/>
        </w:rPr>
        <w:t>Section 44-1-143 of the 1976 Code,</w:t>
      </w:r>
      <w:r w:rsidRPr="00C655B2">
        <w:rPr>
          <w:color w:val="000000" w:themeColor="text1"/>
          <w:u w:color="000000" w:themeColor="text1"/>
        </w:rPr>
        <w:t xml:space="preserve"> relating to </w:t>
      </w:r>
      <w:r w:rsidRPr="00C655B2">
        <w:rPr>
          <w:lang w:val="en-PH"/>
        </w:rPr>
        <w:t>requirements for home</w:t>
      </w:r>
      <w:r w:rsidRPr="00C655B2">
        <w:rPr>
          <w:lang w:val="en-PH"/>
        </w:rPr>
        <w:noBreakHyphen/>
        <w:t xml:space="preserve">based food production operations, </w:t>
      </w:r>
      <w:r w:rsidRPr="00C655B2">
        <w:rPr>
          <w:color w:val="000000" w:themeColor="text1"/>
          <w:u w:color="000000" w:themeColor="text1"/>
        </w:rPr>
        <w:t>to expand the types of nonpotentially hazardous foods that</w:t>
      </w:r>
      <w:r>
        <w:rPr>
          <w:rFonts w:eastAsia="Times New Roman"/>
        </w:rPr>
        <w:t>, etc., respectfully</w:t>
      </w:r>
    </w:p>
    <w:p w14:paraId="133FF675" w14:textId="4ACB6069"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F7E1C16" w14:textId="47F9CD1F"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53F0C55"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9584"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Amend the bill, as and if amended, SECTION 1, by striking Section 44-1-143(</w:t>
      </w:r>
      <w:bookmarkStart w:id="0" w:name="temp"/>
      <w:bookmarkEnd w:id="0"/>
      <w:r w:rsidRPr="003D7096">
        <w:rPr>
          <w:rFonts w:eastAsia="Times New Roman"/>
          <w:szCs w:val="20"/>
        </w:rPr>
        <w:t>A)(1) and (E) and inserting:</w:t>
      </w:r>
    </w:p>
    <w:p w14:paraId="7187BA8C"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lang w:val="en-PH"/>
        </w:rPr>
        <w:tab/>
      </w:r>
      <w:r w:rsidRPr="003D7096">
        <w:rPr>
          <w:lang w:val="en-PH"/>
        </w:rPr>
        <w:t>/</w:t>
      </w:r>
      <w:r w:rsidRPr="003D7096">
        <w:rPr>
          <w:lang w:val="en-PH"/>
        </w:rPr>
        <w:tab/>
        <w:t>(1)</w:t>
      </w:r>
      <w:r w:rsidRPr="003D7096">
        <w:rPr>
          <w:lang w:val="en-PH"/>
        </w:rPr>
        <w:tab/>
        <w:t>‘Home</w:t>
      </w:r>
      <w:r w:rsidRPr="003D7096">
        <w:rPr>
          <w:lang w:val="en-PH"/>
        </w:rPr>
        <w:noBreakHyphen/>
        <w:t>based food production operation’ means an individual, operating out of the individual's dwelling, who prepares, processes, packages, stores, and distributes nonpotentially hazardous foods for sale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u w:val="single"/>
          <w:lang w:val="en-PH"/>
        </w:rPr>
        <w:t>‘Home-based food production operation’ does not include preparing, processing, packaging, storing, or distributing low-acid canned goods or charcuterie boards.</w:t>
      </w:r>
    </w:p>
    <w:p w14:paraId="7F0C85A4"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D7096">
        <w:rPr>
          <w:lang w:val="en-PH"/>
        </w:rPr>
        <w:tab/>
        <w:t>(E)</w:t>
      </w:r>
      <w:r w:rsidRPr="003D7096">
        <w:rPr>
          <w:lang w:val="en-PH"/>
        </w:rPr>
        <w:tab/>
        <w:t>Home</w:t>
      </w:r>
      <w:r w:rsidRPr="003D7096">
        <w:rPr>
          <w:lang w:val="en-PH"/>
        </w:rPr>
        <w:noBreakHyphen/>
        <w:t>based food operations only may sell, or offer to sell, food items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strike/>
          <w:lang w:val="en-PH"/>
        </w:rPr>
        <w:t>for his own use and not for resale</w:t>
      </w:r>
      <w:r w:rsidRPr="003D7096">
        <w:rPr>
          <w:lang w:val="en-PH"/>
        </w:rPr>
        <w:t xml:space="preserve">. </w:t>
      </w:r>
      <w:r w:rsidRPr="003D7096">
        <w:rPr>
          <w:strike/>
          <w:lang w:val="en-PH"/>
        </w:rPr>
        <w:t>A home</w:t>
      </w:r>
      <w:r w:rsidRPr="003D7096">
        <w:rPr>
          <w:strike/>
          <w:lang w:val="en-PH"/>
        </w:rPr>
        <w:noBreakHyphen/>
        <w:t>based food operation may not sell, or offer to sell, food items at wholesale</w:t>
      </w:r>
      <w:r w:rsidRPr="003D7096">
        <w:rPr>
          <w:lang w:val="en-PH"/>
        </w:rPr>
        <w:t>. Food produced from a home</w:t>
      </w:r>
      <w:r w:rsidRPr="003D7096">
        <w:rPr>
          <w:lang w:val="en-PH"/>
        </w:rPr>
        <w:noBreakHyphen/>
        <w:t xml:space="preserve">based food production operation </w:t>
      </w:r>
      <w:r w:rsidRPr="003D7096">
        <w:rPr>
          <w:strike/>
          <w:lang w:val="en-PH"/>
        </w:rPr>
        <w:t>must not</w:t>
      </w:r>
      <w:r w:rsidRPr="003D7096">
        <w:rPr>
          <w:lang w:val="en-PH"/>
        </w:rPr>
        <w:t xml:space="preserve"> </w:t>
      </w:r>
      <w:r w:rsidRPr="003D7096">
        <w:rPr>
          <w:u w:val="single"/>
          <w:lang w:val="en-PH"/>
        </w:rPr>
        <w:t>shall</w:t>
      </w:r>
      <w:r w:rsidRPr="003D7096">
        <w:rPr>
          <w:lang w:val="en-PH"/>
        </w:rPr>
        <w:t xml:space="preserve"> be considered to be from an approved source, as required of a retail food establishment </w:t>
      </w:r>
      <w:r w:rsidRPr="003D7096">
        <w:rPr>
          <w:lang w:val="en-PH"/>
        </w:rPr>
        <w:lastRenderedPageBreak/>
        <w:t xml:space="preserve">pursuant to Regulation 61.25. </w:t>
      </w:r>
      <w:r w:rsidRPr="003D7096">
        <w:rPr>
          <w:u w:val="single"/>
          <w:lang w:val="en-PH"/>
        </w:rPr>
        <w:t>Any retail stores, including grocery stores, that sell or offer to sell home-based food products must post clearly visible signage indicating that home-based food products are not subject to commercial food regulations.</w:t>
      </w:r>
      <w:r w:rsidRPr="003D7096">
        <w:rPr>
          <w:lang w:val="en-PH"/>
        </w:rPr>
        <w:tab/>
      </w:r>
      <w:r w:rsidRPr="003D7096">
        <w:rPr>
          <w:lang w:val="en-PH"/>
        </w:rPr>
        <w:tab/>
        <w:t>/</w:t>
      </w:r>
    </w:p>
    <w:p w14:paraId="1E6FDD4A"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Renumber sections to conform.</w:t>
      </w:r>
    </w:p>
    <w:p w14:paraId="44892B56" w14:textId="77777777" w:rsid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Amend title to conform.</w:t>
      </w:r>
    </w:p>
    <w:p w14:paraId="5D5058B5"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0045B74" w14:textId="40490F1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526AF155" w14:textId="34C785E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86B4E5" w14:textId="7BA7DA98"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A0542" w14:textId="7B7E862F"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FFB2414"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Explanation of Fiscal Impact</w:t>
      </w:r>
    </w:p>
    <w:p w14:paraId="2EBC32FB"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04FC8E25"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sell to online and mail order, or to retail stores, including grocery stores and defines non-potentially hazardous food as food that is not potentially hazardous.  Additionally, this bill requires DHEC to provide an identification number to home-based food production operators who do not wish to include a personal address on the label.  Home-based food production operations making less than $1,500 in net earnings are not subject to these provisions.  This bill takes effect upon approval of the governor.  </w:t>
      </w:r>
    </w:p>
    <w:p w14:paraId="67E5D571"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773A2C22"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2.5 FTEs to support the additional responsibilities as outlined in the bill.  DHEC plans to hire two additional Program Coordinator IIs at $58,000 per employee and 0.5 Program Manager I at approximately $35,000.  DHEC anticipates the fringe for these 2.5 FTEs will total $66,000 annually.  Therefore, this bill will result in an increase of general fund expenditures by approximately $218,000, annually, beginning in FY 2022-23, for DHEC to hire 2.5 new FTEs.  Additionally, DHEC anticipates an additional non-recurring increase of general fund expenditures totaling $98,000 to set up a database to provide unique identifying </w:t>
      </w:r>
      <w:r w:rsidRPr="00C655B2">
        <w:rPr>
          <w:rFonts w:eastAsia="Times New Roman"/>
          <w:bCs/>
          <w:szCs w:val="20"/>
        </w:rPr>
        <w:lastRenderedPageBreak/>
        <w:t xml:space="preserve">numbers for home-based food operations and to track complaints, and to provide for the initial set up of the office, equipment, and travel needs for this program.  Further, DHEC plans to spend approximately $52,000 annually to support and maintain the database as well as provide office supplies and maintain equipment and other tasks.  Therefore, this bill will result in an increase in general fund expenditures totaling $367,000 in FY 2022-23, and $270,000 annually beginning in FY 2023-24. </w:t>
      </w:r>
    </w:p>
    <w:p w14:paraId="0DBC1DA0"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04C92D9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as amended does not alter current fines and fees for DHEC.  Therefore, this bill will have no revenue impact.  </w:t>
      </w:r>
    </w:p>
    <w:p w14:paraId="34E7932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Amended by the Senate on March 10, 2021</w:t>
      </w:r>
    </w:p>
    <w:p w14:paraId="33047AE9"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4DEC0447"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sell to online and mail order, or to retail stores, including grocery stores and defines non-potentially hazardous food as food that is not potentially hazardous.  Additionally, this bill requires DHEC to provide an identification number to home-based food production operators who do not wish to include a personal address on the label.  Home-based food production operations making less than $1,500 in net earnings are not subject to these provisions.  This bill takes effect upon approval of the governor.  </w:t>
      </w:r>
    </w:p>
    <w:p w14:paraId="726CE424"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56793CC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4.5 FTEs to support the additional responsibilities as outlined in the bill.  DHEC plans to hire four additional Program Manager IIs at $58,000 per employee and 0.5 Program Manager I at approximately $35,000.  DHEC anticipates the fringe for these 4.5 FTEs will total $118,000 annually.  Therefore, this bill will result in an increase of general fund expenditures by approximately $385,000, annually, beginning in FY 2022-23, for DHEC to hire 4.5 new FTEs.  Additionally, DHEC anticipates an additional non-recurring increase of general fund expenditures totaling $130,000 to set up a database to provide </w:t>
      </w:r>
      <w:r w:rsidRPr="00C655B2">
        <w:rPr>
          <w:rFonts w:eastAsia="Times New Roman"/>
          <w:bCs/>
          <w:szCs w:val="20"/>
        </w:rPr>
        <w:lastRenderedPageBreak/>
        <w:t xml:space="preserve">unique identifying numbers for home-based food operations and to track complaints, and to provide for the initial set up of the office, equipment, and travel needs for this program.  Further, DHEC plans to spend approximately $73,000 annually to support and maintain the database as well as provide office supplies and maintain equipment and other tasks.  Therefore, this bill will result in an increase in general fund expenditures totaling $588,000 in FY 2022-23, and $458,000 annually beginning in FY 2023-24. </w:t>
      </w:r>
    </w:p>
    <w:p w14:paraId="041E6AE7"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1DF7DF0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as amended does not alter current fines and fees for DHEC.  Therefore, this bill will have no revenue impact.  </w:t>
      </w:r>
    </w:p>
    <w:p w14:paraId="49332751" w14:textId="658B7699"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Amended by Senate Agriculture and Natural Resources on March 2, 2021</w:t>
      </w:r>
    </w:p>
    <w:p w14:paraId="4A78353A"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009ED401"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sale to online and mail order, or to retail stores, including grocery stores and defines non-potentially hazardous food as food that is not potentially hazardous.  Additionally, this bill requires DHEC to provide identification number to home-based food production operators who do not wish to include a personal address on the label.  This bill also specifies that DHEC may implement a fine of $100 per violation for repeated non-minor violations.  Home-based food production operations making less than $1,500 in net earnings are not subject to these provisions.  This bill takes effect upon approval of the governor.  </w:t>
      </w:r>
    </w:p>
    <w:p w14:paraId="6837ED59"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44995802"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4.5 additional FTEs to support the additional responsibilities as outlined in the bill.  DHEC plans to hire four additional Program Manager IIs at $58,000 per employee and 0.5 Program Manager I at approximately $35,000.  DHEC anticipates the fringe for these 4.5 FTEs will total $118,000 annually.  Therefore, this bill will result in an increase of general fund expenditure by approximately $385,000, annually, beginning </w:t>
      </w:r>
      <w:r w:rsidRPr="00C655B2">
        <w:rPr>
          <w:rFonts w:eastAsia="Times New Roman"/>
          <w:bCs/>
          <w:szCs w:val="20"/>
        </w:rPr>
        <w:lastRenderedPageBreak/>
        <w:t xml:space="preserve">in FY 2021-22, for DHEC for 4.5 new FTES.  Additionally, DHEC anticipates an additional non-recurring increase of general fund expenditures totaling $130,000, to set up a databased to provide unique identifying numbers for home-based food operations and to track complaints, and to provide for the initial set up of the office, equipment, and travel needs for this program.  Further, DHEC plans to spend approximately $73,000 annually to support and maintain the database as well as provide office supplies and maintain equipment and other tasks.  Therefore, this bill will result in an increase in general fund expenditures totaling $588,000 in FY 2021-22, and $458,000 annually beginning in FY 2022-23. </w:t>
      </w:r>
    </w:p>
    <w:p w14:paraId="49D2208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1D362EF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creates a new fine that DHEC may apply for repeat non-minor violations for home-based food product operations. DHEC will need further guidance, either in code or by regulation, to determine what constitutes a non-minor violation.  Additionally, the application of the fine is at the discretion of DHEC; and therefore, the potential number of fines is unknown.  Additionally, it is unclear, whether the revenue from this newly created fine will go into the general fund or into other funds to support the program.  Therefore, this bill will result in an undetermined increase in general fund and/or other funds revenue due to the implantation of this fine.  </w:t>
      </w:r>
    </w:p>
    <w:p w14:paraId="330740B2" w14:textId="5EE4303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F52F" w14:textId="0C1CF5D2"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E0F202D" w14:textId="47A0FF0E" w:rsidR="00C655B2" w:rsidRP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0E87C8FE" w14:textId="7DB67205"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11736"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1A2EB9"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55B2"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2"/>
    </w:p>
    <w:p w14:paraId="6D155DEF" w14:textId="77777777" w:rsidR="005E3961"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4F27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44-1-143 of the 1976 Code is amended to read:</w:t>
      </w:r>
    </w:p>
    <w:p w14:paraId="1576D49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AC57288"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53C77331" w14:textId="77777777" w:rsidR="005E3961" w:rsidRPr="00FB4204"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w:t>
      </w:r>
      <w:r>
        <w:rPr>
          <w:lang w:val="en-PH"/>
        </w:rPr>
        <w:tab/>
        <w:t>‘</w:t>
      </w:r>
      <w:r w:rsidRPr="00FF4C7B">
        <w:rPr>
          <w:lang w:val="en-PH"/>
        </w:rPr>
        <w:t>Home</w:t>
      </w:r>
      <w:r>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w:t>
      </w:r>
      <w:r w:rsidRPr="00E87FE9">
        <w:rPr>
          <w:color w:val="000000" w:themeColor="text1"/>
          <w:u w:val="single" w:color="000000" w:themeColor="text1"/>
        </w:rPr>
        <w:t>tores</w:t>
      </w:r>
      <w:r w:rsidRPr="00E87FE9">
        <w:rPr>
          <w:lang w:val="en-PH"/>
        </w:rPr>
        <w:t xml:space="preserve">. </w:t>
      </w:r>
      <w:r w:rsidRPr="00E87FE9">
        <w:rPr>
          <w:u w:val="single"/>
          <w:lang w:val="en-PH"/>
        </w:rPr>
        <w:t>‘Home-based food production operation’ does not include preparing, processing, packaging, storing, or distributing aluminum canned goods or charcuterie boards.</w:t>
      </w:r>
    </w:p>
    <w:p w14:paraId="259B09F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47D97F6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7DF8666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3D7C95A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6F859EE6"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D2E5DFC" w14:textId="6978F961" w:rsidR="005E3961" w:rsidRPr="00FF4C7B" w:rsidRDefault="005E3961" w:rsidP="005E3961">
      <w:pPr>
        <w:tabs>
          <w:tab w:val="left" w:pos="356"/>
          <w:tab w:val="left" w:pos="916"/>
          <w:tab w:val="left" w:pos="3003"/>
          <w:tab w:val="left" w:pos="5090"/>
          <w:tab w:val="left" w:pos="7177"/>
        </w:tabs>
        <w:ind w:left="38"/>
        <w:jc w:val="both"/>
        <w:rPr>
          <w:rFonts w:eastAsia="Times New Roman"/>
          <w:sz w:val="20"/>
          <w:szCs w:val="20"/>
        </w:rPr>
      </w:pPr>
      <w:r w:rsidRPr="00FF4C7B">
        <w:rPr>
          <w:rFonts w:eastAsia="Times New Roman"/>
          <w:sz w:val="20"/>
          <w:szCs w:val="20"/>
        </w:rPr>
        <w:tab/>
      </w:r>
    </w:p>
    <w:p w14:paraId="19D5540A" w14:textId="7314150C" w:rsidR="005E3961" w:rsidRPr="005E3961" w:rsidRDefault="005E3961" w:rsidP="007D2B5F">
      <w:pPr>
        <w:tabs>
          <w:tab w:val="left" w:pos="1800"/>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25369E3" w14:textId="25F85E5E" w:rsidR="005E3961" w:rsidRPr="005E3961" w:rsidRDefault="007D2B5F" w:rsidP="007D2B5F">
      <w:pPr>
        <w:tabs>
          <w:tab w:val="left" w:pos="1170"/>
          <w:tab w:val="left" w:pos="1800"/>
          <w:tab w:val="left" w:pos="3600"/>
          <w:tab w:val="left" w:pos="5130"/>
        </w:tabs>
        <w:ind w:left="38"/>
        <w:rPr>
          <w:rFonts w:eastAsia="Times New Roman"/>
          <w:sz w:val="20"/>
          <w:szCs w:val="20"/>
        </w:rPr>
      </w:pPr>
      <w:r>
        <w:rPr>
          <w:rFonts w:eastAsia="Times New Roman"/>
          <w:sz w:val="20"/>
          <w:szCs w:val="20"/>
        </w:rPr>
        <w:tab/>
      </w:r>
      <w:r w:rsidR="005E3961">
        <w:rPr>
          <w:rFonts w:eastAsia="Times New Roman"/>
          <w:sz w:val="20"/>
          <w:szCs w:val="20"/>
        </w:rPr>
        <w:tab/>
      </w:r>
      <w:r w:rsidR="005E3961" w:rsidRPr="005E3961">
        <w:rPr>
          <w:rFonts w:eastAsia="Times New Roman"/>
          <w:sz w:val="20"/>
          <w:szCs w:val="20"/>
        </w:rPr>
        <w:t>4.6 or less</w:t>
      </w:r>
      <w:r w:rsidR="005E3961" w:rsidRPr="005E3961">
        <w:rPr>
          <w:rFonts w:ascii="Arial" w:eastAsia="Times New Roman" w:hAnsi="Arial" w:cs="Arial"/>
          <w:sz w:val="20"/>
          <w:szCs w:val="20"/>
        </w:rPr>
        <w:tab/>
      </w:r>
      <w:r w:rsidR="005E3961" w:rsidRPr="005E3961">
        <w:rPr>
          <w:rFonts w:eastAsia="Times New Roman"/>
          <w:sz w:val="20"/>
          <w:szCs w:val="20"/>
        </w:rPr>
        <w:t>&gt;4.6—5.6</w:t>
      </w:r>
      <w:r w:rsidR="005E3961" w:rsidRPr="005E3961">
        <w:rPr>
          <w:rFonts w:ascii="Arial" w:eastAsia="Times New Roman" w:hAnsi="Arial" w:cs="Arial"/>
          <w:sz w:val="20"/>
          <w:szCs w:val="20"/>
        </w:rPr>
        <w:tab/>
      </w:r>
      <w:r w:rsidR="005E3961" w:rsidRPr="005E3961">
        <w:rPr>
          <w:rFonts w:eastAsia="Times New Roman"/>
          <w:sz w:val="20"/>
          <w:szCs w:val="20"/>
        </w:rPr>
        <w:t>&gt;5.6</w:t>
      </w:r>
    </w:p>
    <w:p w14:paraId="5511EBC7" w14:textId="78973D2A"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(1)</w:t>
      </w:r>
      <w:r w:rsidRPr="005E3961">
        <w:rPr>
          <w:rFonts w:ascii="Arial" w:eastAsia="Times New Roman" w:hAnsi="Arial" w:cs="Arial"/>
          <w:sz w:val="20"/>
          <w:szCs w:val="20"/>
        </w:rPr>
        <w:tab/>
      </w:r>
      <w:r w:rsidRPr="005E3961">
        <w:rPr>
          <w:rFonts w:eastAsia="Times New Roman"/>
          <w:sz w:val="20"/>
          <w:szCs w:val="20"/>
        </w:rPr>
        <w:t>&lt;0.92</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p>
    <w:p w14:paraId="2B8F019F" w14:textId="28612375"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(2)</w:t>
      </w:r>
      <w:r w:rsidRPr="005E3961">
        <w:rPr>
          <w:rFonts w:ascii="Arial" w:eastAsia="Times New Roman" w:hAnsi="Arial" w:cs="Arial"/>
          <w:sz w:val="20"/>
          <w:szCs w:val="20"/>
        </w:rPr>
        <w:tab/>
      </w:r>
      <w:r w:rsidRPr="005E3961">
        <w:rPr>
          <w:rFonts w:eastAsia="Times New Roman"/>
          <w:sz w:val="20"/>
          <w:szCs w:val="20"/>
        </w:rPr>
        <w:t>&gt;0.92—0.95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p>
    <w:p w14:paraId="283DF074" w14:textId="319A0AE2"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(3)</w:t>
      </w:r>
      <w:r w:rsidRPr="005E3961">
        <w:rPr>
          <w:rFonts w:ascii="Arial" w:eastAsia="Times New Roman" w:hAnsi="Arial" w:cs="Arial"/>
          <w:sz w:val="20"/>
          <w:szCs w:val="20"/>
        </w:rPr>
        <w:tab/>
      </w:r>
      <w:r w:rsidRPr="005E3961">
        <w:rPr>
          <w:rFonts w:eastAsia="Times New Roman"/>
          <w:sz w:val="20"/>
          <w:szCs w:val="20"/>
        </w:rPr>
        <w:t>&gt;0.95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r w:rsidRPr="005E3961">
        <w:rPr>
          <w:rFonts w:ascii="Arial" w:eastAsia="Times New Roman" w:hAnsi="Arial" w:cs="Arial"/>
          <w:sz w:val="20"/>
          <w:szCs w:val="20"/>
        </w:rPr>
        <w:tab/>
      </w:r>
      <w:r w:rsidRPr="005E3961">
        <w:rPr>
          <w:rFonts w:eastAsia="Times New Roman"/>
          <w:sz w:val="20"/>
          <w:szCs w:val="20"/>
        </w:rPr>
        <w:t>PHF</w:t>
      </w:r>
    </w:p>
    <w:p w14:paraId="6B3E54C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14635F2"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0D9069D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783950A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49D7A7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71373B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6EF0B3BE"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 xml:space="preserve">prohibiting any person who is infected with a communicable disease that can be transmitted by food, who is a carrier of organisms that can cause a communicable disease that can </w:t>
      </w:r>
      <w:r w:rsidRPr="00FF4C7B">
        <w:rPr>
          <w:lang w:val="en-PH"/>
        </w:rPr>
        <w:lastRenderedPageBreak/>
        <w:t>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232C81B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7D7980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w:t>
      </w:r>
      <w:r w:rsidRPr="00DD2446">
        <w:rPr>
          <w:u w:val="single"/>
          <w:lang w:val="en-PH"/>
        </w:rPr>
        <w:t>,</w:t>
      </w:r>
      <w:r w:rsidRPr="00FF4C7B">
        <w:rPr>
          <w:lang w:val="en-PH"/>
        </w:rPr>
        <w:t xml:space="preserve"> but not limited to:</w:t>
      </w:r>
    </w:p>
    <w:p w14:paraId="3939321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6243BAD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B63375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85027F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061A945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4B8898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76807F9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3AABC09D"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6A090B2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77FD688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4FA0C87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6637053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67D12C6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5EA2836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Pr>
          <w:lang w:val="en-PH"/>
        </w:rPr>
        <w:noBreakHyphen/>
      </w:r>
      <w:r w:rsidRPr="00FF4C7B">
        <w:rPr>
          <w:lang w:val="en-PH"/>
        </w:rPr>
        <w:t xml:space="preserve">BASED FOOD PRODUCTION OPERATION THAT IS NOT </w:t>
      </w:r>
      <w:r w:rsidRPr="00B81ED0">
        <w:rPr>
          <w:lang w:val="en-PH"/>
        </w:rPr>
        <w:t>SUBJECT TO SOUTH CAROLINA'S FOOD SAFETY REGULATIONS.’</w:t>
      </w:r>
    </w:p>
    <w:p w14:paraId="1B97E189" w14:textId="77777777" w:rsidR="005E3961" w:rsidRPr="00B81ED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FF4C7B">
        <w:rPr>
          <w:lang w:val="en-PH"/>
        </w:rPr>
        <w:lastRenderedPageBreak/>
        <w:tab/>
        <w:t>(E)</w:t>
      </w:r>
      <w:r>
        <w:rPr>
          <w:lang w:val="en-PH"/>
        </w:rPr>
        <w:tab/>
      </w:r>
      <w:r w:rsidRPr="00FF4C7B">
        <w:rPr>
          <w:lang w:val="en-PH"/>
        </w:rPr>
        <w:t>Home</w:t>
      </w:r>
      <w:r>
        <w:rPr>
          <w:lang w:val="en-PH"/>
        </w:rPr>
        <w:noBreakHyphen/>
      </w:r>
      <w:r w:rsidRPr="00FF4C7B">
        <w:rPr>
          <w:lang w:val="en-PH"/>
        </w:rPr>
        <w:t>based food operations only may sell, or offer to sell, food items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Pr>
          <w:lang w:val="en-PH"/>
        </w:rPr>
        <w:noBreakHyphen/>
      </w:r>
      <w:r w:rsidRPr="00FF4C7B">
        <w:rPr>
          <w:lang w:val="en-PH"/>
        </w:rPr>
        <w:t>based food production operation must not be considered to be from an approved source, as required of a retail food establishment pursuant to Regulation 61.25.</w:t>
      </w:r>
      <w:r>
        <w:rPr>
          <w:lang w:val="en-PH"/>
        </w:rPr>
        <w:t xml:space="preserve"> </w:t>
      </w:r>
      <w:r w:rsidRPr="00E87FE9">
        <w:rPr>
          <w:u w:val="single"/>
          <w:lang w:val="en-PH"/>
        </w:rPr>
        <w:t>Any retail stores, including grocery stores, that sell or offer to sell home-based food products must post clearly visible signage indicating that home-based food products are not subject to commercial food regulations.</w:t>
      </w:r>
    </w:p>
    <w:p w14:paraId="2CB3F3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0E8F62D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2DCF8056" w14:textId="36E95BC9" w:rsidR="005E3961" w:rsidRPr="00E87FE9"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0C7B3FDB"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6F4D7B8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0A885152" w:rsidR="0098166A" w:rsidRPr="00522CE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C608FA" w14:textId="77777777" w:rsidR="009D2478" w:rsidRDefault="009D2478" w:rsidP="009D2478">
      <w:pPr>
        <w:suppressAutoHyphens/>
        <w:jc w:val="both"/>
        <w:rPr>
          <w:rFonts w:eastAsia="Times New Roman"/>
        </w:rPr>
      </w:pPr>
    </w:p>
    <w:sectPr w:rsidR="009D2478"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2D4867-B21C-406E-BFB1-C7A6D56C7E83}"/>
    <w:embedBold r:id="rId2" w:fontKey="{0E230F74-35D4-413B-8D07-975D6C7546C2}"/>
  </w:font>
  <w:font w:name="Calibri">
    <w:panose1 w:val="020F0502020204030204"/>
    <w:charset w:val="00"/>
    <w:family w:val="swiss"/>
    <w:pitch w:val="variable"/>
    <w:sig w:usb0="E4002EFF" w:usb1="C000247B" w:usb2="00000009" w:usb3="00000000" w:csb0="000001FF" w:csb1="00000000"/>
    <w:embedRegular r:id="rId3" w:fontKey="{8970EE4A-867D-4333-89F9-F38CF4D2EF94}"/>
    <w:embedBold r:id="rId4" w:fontKey="{A7456CA2-D472-4E23-BD20-E0B3EB6A425C}"/>
  </w:font>
  <w:font w:name="Segoe UI">
    <w:panose1 w:val="020B0502040204020203"/>
    <w:charset w:val="00"/>
    <w:family w:val="swiss"/>
    <w:pitch w:val="variable"/>
    <w:sig w:usb0="E4002EFF" w:usb1="C000E47F" w:usb2="00000009" w:usb3="00000000" w:csb0="000001FF" w:csb1="00000000"/>
    <w:embedRegular r:id="rId5" w:fontKey="{FB8E4A72-9EAC-44C5-84DC-1401C74A2AD0}"/>
  </w:font>
  <w:font w:name="Arial">
    <w:panose1 w:val="020B0604020202020204"/>
    <w:charset w:val="00"/>
    <w:family w:val="swiss"/>
    <w:pitch w:val="variable"/>
    <w:sig w:usb0="E0002EFF" w:usb1="C000785B" w:usb2="00000009" w:usb3="00000000" w:csb0="000001FF" w:csb1="00000000"/>
    <w:embedRegular r:id="rId6" w:fontKey="{896804B1-1C61-4E75-AAD1-76695D9DFDB5}"/>
  </w:font>
  <w:font w:name="Cambria">
    <w:panose1 w:val="02040503050406030204"/>
    <w:charset w:val="00"/>
    <w:family w:val="roman"/>
    <w:pitch w:val="variable"/>
    <w:sig w:usb0="E00006FF" w:usb1="420024FF" w:usb2="02000000" w:usb3="00000000" w:csb0="0000019F" w:csb1="00000000"/>
    <w:embedRegular r:id="rId7" w:fontKey="{00F2B07D-F997-43C1-A39E-CC4611A087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2DB40134"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9D2478">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300D4E97"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9D24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73ED5"/>
    <w:rsid w:val="004813A2"/>
    <w:rsid w:val="004911DE"/>
    <w:rsid w:val="004952FA"/>
    <w:rsid w:val="004B6A22"/>
    <w:rsid w:val="004D7F37"/>
    <w:rsid w:val="00522CE0"/>
    <w:rsid w:val="00541951"/>
    <w:rsid w:val="00565148"/>
    <w:rsid w:val="00570403"/>
    <w:rsid w:val="00577450"/>
    <w:rsid w:val="005824A9"/>
    <w:rsid w:val="00593361"/>
    <w:rsid w:val="005A413B"/>
    <w:rsid w:val="005A5017"/>
    <w:rsid w:val="005A648C"/>
    <w:rsid w:val="005E3961"/>
    <w:rsid w:val="005F07AC"/>
    <w:rsid w:val="005F1745"/>
    <w:rsid w:val="00685049"/>
    <w:rsid w:val="006A1802"/>
    <w:rsid w:val="006B0E28"/>
    <w:rsid w:val="006C0CBB"/>
    <w:rsid w:val="006C74EA"/>
    <w:rsid w:val="006F56CF"/>
    <w:rsid w:val="00720D40"/>
    <w:rsid w:val="007318D4"/>
    <w:rsid w:val="00765784"/>
    <w:rsid w:val="007A4390"/>
    <w:rsid w:val="007D2B5F"/>
    <w:rsid w:val="007E5CB7"/>
    <w:rsid w:val="008314D2"/>
    <w:rsid w:val="0085266E"/>
    <w:rsid w:val="008576C9"/>
    <w:rsid w:val="008670D7"/>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9D2478"/>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655B2"/>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D2446"/>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A688A"/>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2678</Words>
  <Characters>14916</Characters>
  <Application>Microsoft Office Word</Application>
  <DocSecurity>0</DocSecurity>
  <Lines>351</Lines>
  <Paragraphs>88</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(Apr. 25, 2022) - South Carolina Legislature Online</dc:title>
  <dc:subject/>
  <dc:creator>Rebecca Landau</dc:creator>
  <cp:keywords/>
  <dc:description/>
  <cp:lastModifiedBy>Danny Crook</cp:lastModifiedBy>
  <cp:revision>2</cp:revision>
  <cp:lastPrinted>2021-03-10T18:56:00Z</cp:lastPrinted>
  <dcterms:created xsi:type="dcterms:W3CDTF">2022-04-25T20:30:00Z</dcterms:created>
  <dcterms:modified xsi:type="dcterms:W3CDTF">2022-04-25T20:30:00Z</dcterms:modified>
</cp:coreProperties>
</file>