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6076F8" w14:textId="7AB049A1" w:rsid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80591E9" w14:textId="38B4DA79" w:rsidR="00C721B0" w:rsidRP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1006A82" w14:textId="37B1360C" w:rsid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7340AE" w14:textId="0ABDAF7D" w:rsid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14:paraId="2A01F440" w14:textId="63583A75" w:rsid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3, 2021</w:t>
      </w:r>
    </w:p>
    <w:p w14:paraId="24371EBD" w14:textId="0C4C5D87" w:rsid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ACC767" w14:textId="17C2183B" w:rsidR="00C721B0" w:rsidRPr="00C721B0" w:rsidRDefault="00C721B0" w:rsidP="00C721B0">
      <w:pPr>
        <w:tabs>
          <w:tab w:val="right" w:pos="5933"/>
        </w:tabs>
        <w:suppressAutoHyphens/>
        <w:jc w:val="both"/>
        <w:rPr>
          <w:rFonts w:eastAsia="Times New Roman"/>
        </w:rPr>
      </w:pPr>
      <w:r>
        <w:rPr>
          <w:rFonts w:eastAsia="Times New Roman"/>
        </w:rPr>
        <w:tab/>
      </w:r>
      <w:r>
        <w:rPr>
          <w:rFonts w:eastAsia="Times New Roman"/>
          <w:b/>
          <w:sz w:val="36"/>
        </w:rPr>
        <w:t>S. 515</w:t>
      </w:r>
    </w:p>
    <w:p w14:paraId="20D73ED8" w14:textId="52045DAB" w:rsid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8A5C5D" w14:textId="6A114656" w:rsidR="00C721B0" w:rsidRDefault="00C721B0" w:rsidP="00C72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D4B1B">
        <w:t>Senators Stephens and Hutto</w:t>
      </w:r>
    </w:p>
    <w:p w14:paraId="030C0438" w14:textId="101B325D" w:rsid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67C22B" w14:textId="23750AAD" w:rsid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2/3/21--S.</w:t>
      </w:r>
    </w:p>
    <w:p w14:paraId="5C275CD9" w14:textId="09AD59FB" w:rsid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3, 2021.</w:t>
      </w:r>
    </w:p>
    <w:p w14:paraId="7B8A4D70" w14:textId="2E8EF730" w:rsidR="00C721B0" w:rsidRPr="00C721B0" w:rsidRDefault="00C721B0" w:rsidP="00C72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4226C2A" w14:textId="1C6DDC22" w:rsid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A2BFC5" w14:textId="77777777" w:rsid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721B0" w:rsidSect="00C721B0">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100FA83" w14:textId="74E8CF2A" w:rsidR="004A2FA8" w:rsidRPr="00522CE0" w:rsidRDefault="004A2F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FBAD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2B46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3CC1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CF37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A254D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9DCE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F735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D4C1FD" w14:textId="77777777" w:rsidR="00522CE0" w:rsidRPr="008F023B" w:rsidRDefault="00522CE0" w:rsidP="004A2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23A32">
        <w:rPr>
          <w:rFonts w:eastAsia="Times New Roman"/>
          <w:b/>
          <w:sz w:val="30"/>
          <w:szCs w:val="30"/>
        </w:rPr>
        <w:t>BILL</w:t>
      </w:r>
    </w:p>
    <w:p w14:paraId="5F22E1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2BF663" w14:textId="764745CE" w:rsidR="00522CE0" w:rsidRPr="00081BAD" w:rsidRDefault="00081B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81BAD">
        <w:rPr>
          <w:rFonts w:eastAsia="Times New Roman"/>
        </w:rPr>
        <w:t>TO AMEND SECTION 3(B)(5) OF ACT 280 OF 2018,</w:t>
      </w:r>
      <w:r w:rsidR="00EF70A9">
        <w:rPr>
          <w:rFonts w:eastAsia="Times New Roman"/>
        </w:rPr>
        <w:t xml:space="preserve"> RELATING TO THE ORANGEBURG COUNTY SCHOOL DISTRICT BOARD OF TRUSTEES’ DUTY TO ADOPT ATTENDANCE ZONES,</w:t>
      </w:r>
      <w:r w:rsidRPr="00081BAD">
        <w:rPr>
          <w:rFonts w:eastAsia="Times New Roman"/>
        </w:rPr>
        <w:t xml:space="preserve"> TO PROVIDE </w:t>
      </w:r>
      <w:r w:rsidR="0023166F">
        <w:rPr>
          <w:rFonts w:eastAsia="Times New Roman"/>
        </w:rPr>
        <w:t>THAT THE BOARD’S DUTY TO ADOPT ATTENDANCE ZONES AND RELATED PROVISIONS SHALL NOT APPLY</w:t>
      </w:r>
      <w:r w:rsidRPr="00081BAD">
        <w:rPr>
          <w:rFonts w:eastAsia="Times New Roman"/>
        </w:rPr>
        <w:t xml:space="preserve"> </w:t>
      </w:r>
      <w:r w:rsidR="0023166F">
        <w:rPr>
          <w:rFonts w:eastAsia="Times New Roman"/>
        </w:rPr>
        <w:t xml:space="preserve">IF </w:t>
      </w:r>
      <w:r w:rsidR="00DD237D" w:rsidRPr="00DD237D">
        <w:rPr>
          <w:color w:val="000000" w:themeColor="text1"/>
        </w:rPr>
        <w:t xml:space="preserve">THE BOARD DETERMINES THAT A BUILDING OR STRUCTURE IS AN IMMINENT THREAT TO THE HEALTH </w:t>
      </w:r>
      <w:r w:rsidR="00EF70A9">
        <w:rPr>
          <w:color w:val="000000" w:themeColor="text1"/>
        </w:rPr>
        <w:t>OR</w:t>
      </w:r>
      <w:r w:rsidR="00DD237D" w:rsidRPr="00DD237D">
        <w:rPr>
          <w:color w:val="000000" w:themeColor="text1"/>
        </w:rPr>
        <w:t xml:space="preserve"> SAFETY OF STUDENTS OR STAFF, THE NEEDED UPGRADES AND REPAIRS TO MAINTAIN </w:t>
      </w:r>
      <w:r w:rsidR="00C1305F">
        <w:rPr>
          <w:color w:val="000000" w:themeColor="text1"/>
        </w:rPr>
        <w:t>A</w:t>
      </w:r>
      <w:r w:rsidR="00DD237D" w:rsidRPr="00DD237D">
        <w:rPr>
          <w:color w:val="000000" w:themeColor="text1"/>
        </w:rPr>
        <w:t xml:space="preserve"> BUILDING OR STRUCTURE ARE ECONOMICALLY UNFEASIBLE</w:t>
      </w:r>
      <w:r w:rsidR="00EF70A9">
        <w:rPr>
          <w:color w:val="000000" w:themeColor="text1"/>
        </w:rPr>
        <w:t>,</w:t>
      </w:r>
      <w:r w:rsidR="00C1305F">
        <w:rPr>
          <w:color w:val="000000" w:themeColor="text1"/>
        </w:rPr>
        <w:t xml:space="preserve"> OR </w:t>
      </w:r>
      <w:r w:rsidR="00C1305F" w:rsidRPr="00C1305F">
        <w:rPr>
          <w:color w:val="000000" w:themeColor="text1"/>
        </w:rPr>
        <w:t>A BUILDING OR STRUCTURE IS UNDERUTILIZED AND THE USE OF ANOTHER BUILDING OR STRUCTURE IS FEASIBLE</w:t>
      </w:r>
      <w:r w:rsidR="00DD237D" w:rsidRPr="00DD237D">
        <w:rPr>
          <w:color w:val="000000" w:themeColor="text1"/>
        </w:rPr>
        <w:t>.</w:t>
      </w:r>
      <w:bookmarkEnd w:id="1"/>
    </w:p>
    <w:p w14:paraId="299812C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A1420F9" w14:textId="77777777" w:rsidR="00E23A32" w:rsidRDefault="00E23A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141C667" w14:textId="77777777" w:rsidR="00E23A32" w:rsidRDefault="00E23A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651E01" w14:textId="717A9E59" w:rsidR="00E23A32" w:rsidRDefault="00E23A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81BAD">
        <w:rPr>
          <w:rFonts w:eastAsia="Times New Roman"/>
        </w:rPr>
        <w:t>SECTION 3(B)(5) of Act 280 of 2018 is amended to read:</w:t>
      </w:r>
    </w:p>
    <w:p w14:paraId="693CFC3B" w14:textId="77777777" w:rsidR="00081BAD" w:rsidRDefault="00081B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FB17C5" w14:textId="23B416B1" w:rsidR="00C1305F" w:rsidRDefault="00081BAD" w:rsidP="00EF7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rPr>
        <w:tab/>
      </w:r>
      <w:r w:rsidR="00EF70A9">
        <w:rPr>
          <w:color w:val="000000" w:themeColor="text1"/>
          <w:u w:color="000000" w:themeColor="text1"/>
        </w:rPr>
        <w:t>“</w:t>
      </w:r>
      <w:r w:rsidRPr="001B5C56">
        <w:rPr>
          <w:color w:val="000000" w:themeColor="text1"/>
          <w:u w:color="000000" w:themeColor="text1"/>
        </w:rPr>
        <w:t>(5)</w:t>
      </w:r>
      <w:r w:rsidRPr="001B5C56">
        <w:rPr>
          <w:color w:val="000000" w:themeColor="text1"/>
          <w:u w:color="000000" w:themeColor="text1"/>
        </w:rPr>
        <w:tab/>
        <w:t>adopt attendance zones of schools within the school district except that, through school year 2021</w:t>
      </w:r>
      <w:r w:rsidR="009E0434">
        <w:rPr>
          <w:color w:val="000000" w:themeColor="text1"/>
          <w:u w:color="000000" w:themeColor="text1"/>
        </w:rPr>
        <w:noBreakHyphen/>
      </w:r>
      <w:r w:rsidRPr="001B5C56">
        <w:rPr>
          <w:color w:val="000000" w:themeColor="text1"/>
          <w:u w:color="000000" w:themeColor="text1"/>
        </w:rPr>
        <w:t xml:space="preserve">2022, existing attendance zones cannot be changed unless the federal court order regarding attendance zones is rescinded or amended during this period. However, no elementary, middle, or high school may be closed until three public hearings are held at least two weeks apart within the affected attendance area, with information to include, among other things, a delineation of the cost factors involved in keeping the school open and transporting the students to another school. In addition to the public hearings requirement, if a school in an attendance area that existed before consolidation is to be closed and the students of that school moved to a school in another attendance </w:t>
      </w:r>
      <w:r w:rsidRPr="001B5C56">
        <w:rPr>
          <w:color w:val="000000" w:themeColor="text1"/>
          <w:u w:color="000000" w:themeColor="text1"/>
        </w:rPr>
        <w:lastRenderedPageBreak/>
        <w:t>area, the qualified electors within the attendance area where the school is to be closed also first must approve the closing by referendum. This referendum may not be held at the same time as a school bond referendum. A school building that is the responsibility of the board of trustees of the school district must be maintained in conformity with all applicable building code standards and requirements to protect and ensure the health, safety, and welfare of students, faculty, administrators, and the general public</w:t>
      </w:r>
      <w:r>
        <w:rPr>
          <w:color w:val="000000" w:themeColor="text1"/>
          <w:u w:val="single" w:color="000000" w:themeColor="text1"/>
        </w:rPr>
        <w:t>.</w:t>
      </w:r>
      <w:r w:rsidR="00EF70A9">
        <w:rPr>
          <w:color w:val="000000" w:themeColor="text1"/>
          <w:u w:val="single" w:color="000000" w:themeColor="text1"/>
        </w:rPr>
        <w:t xml:space="preserve"> T</w:t>
      </w:r>
      <w:r>
        <w:rPr>
          <w:color w:val="000000" w:themeColor="text1"/>
          <w:u w:val="single" w:color="000000" w:themeColor="text1"/>
        </w:rPr>
        <w:t>he</w:t>
      </w:r>
      <w:r w:rsidR="00003F00">
        <w:rPr>
          <w:color w:val="000000" w:themeColor="text1"/>
          <w:u w:val="single" w:color="000000" w:themeColor="text1"/>
        </w:rPr>
        <w:t xml:space="preserve"> provisions of </w:t>
      </w:r>
      <w:r w:rsidR="00EF70A9">
        <w:rPr>
          <w:color w:val="000000" w:themeColor="text1"/>
          <w:u w:val="single" w:color="000000" w:themeColor="text1"/>
        </w:rPr>
        <w:t>this item</w:t>
      </w:r>
      <w:r w:rsidR="00003F00">
        <w:rPr>
          <w:color w:val="000000" w:themeColor="text1"/>
          <w:u w:val="single" w:color="000000" w:themeColor="text1"/>
        </w:rPr>
        <w:t xml:space="preserve"> do not apply</w:t>
      </w:r>
      <w:r>
        <w:rPr>
          <w:color w:val="000000" w:themeColor="text1"/>
          <w:u w:val="single" w:color="000000" w:themeColor="text1"/>
        </w:rPr>
        <w:t xml:space="preserve"> </w:t>
      </w:r>
      <w:r w:rsidR="00003F00">
        <w:rPr>
          <w:color w:val="000000" w:themeColor="text1"/>
          <w:u w:val="single" w:color="000000" w:themeColor="text1"/>
        </w:rPr>
        <w:t>if the board determines that</w:t>
      </w:r>
      <w:r w:rsidR="00C1305F">
        <w:rPr>
          <w:color w:val="000000" w:themeColor="text1"/>
          <w:u w:val="single" w:color="000000" w:themeColor="text1"/>
        </w:rPr>
        <w:t>:</w:t>
      </w:r>
    </w:p>
    <w:p w14:paraId="56CBBF80" w14:textId="447C7B68" w:rsidR="00C1305F" w:rsidRDefault="00C1305F" w:rsidP="0008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1305F">
        <w:rPr>
          <w:color w:val="000000" w:themeColor="text1"/>
          <w:u w:color="000000" w:themeColor="text1"/>
        </w:rPr>
        <w:tab/>
      </w:r>
      <w:r w:rsidRPr="00C1305F">
        <w:rPr>
          <w:color w:val="000000" w:themeColor="text1"/>
          <w:u w:color="000000" w:themeColor="text1"/>
        </w:rPr>
        <w:tab/>
      </w:r>
      <w:r>
        <w:rPr>
          <w:color w:val="000000" w:themeColor="text1"/>
          <w:u w:val="single" w:color="000000" w:themeColor="text1"/>
        </w:rPr>
        <w:t>(a)</w:t>
      </w:r>
      <w:r w:rsidRPr="00C1305F">
        <w:rPr>
          <w:color w:val="000000" w:themeColor="text1"/>
          <w:u w:color="000000" w:themeColor="text1"/>
        </w:rPr>
        <w:tab/>
      </w:r>
      <w:r w:rsidR="00081BAD">
        <w:rPr>
          <w:color w:val="000000" w:themeColor="text1"/>
          <w:u w:val="single" w:color="000000" w:themeColor="text1"/>
        </w:rPr>
        <w:t xml:space="preserve">a </w:t>
      </w:r>
      <w:r w:rsidR="00B323BB">
        <w:rPr>
          <w:color w:val="000000" w:themeColor="text1"/>
          <w:u w:val="single" w:color="000000" w:themeColor="text1"/>
        </w:rPr>
        <w:t xml:space="preserve">school </w:t>
      </w:r>
      <w:r w:rsidR="00081BAD">
        <w:rPr>
          <w:color w:val="000000" w:themeColor="text1"/>
          <w:u w:val="single" w:color="000000" w:themeColor="text1"/>
        </w:rPr>
        <w:t xml:space="preserve">building or structure is an imminent threat </w:t>
      </w:r>
      <w:r w:rsidR="00003F00">
        <w:rPr>
          <w:color w:val="000000" w:themeColor="text1"/>
          <w:u w:val="single" w:color="000000" w:themeColor="text1"/>
        </w:rPr>
        <w:t>to</w:t>
      </w:r>
      <w:r w:rsidR="00081BAD">
        <w:rPr>
          <w:color w:val="000000" w:themeColor="text1"/>
          <w:u w:val="single" w:color="000000" w:themeColor="text1"/>
        </w:rPr>
        <w:t xml:space="preserve"> the health </w:t>
      </w:r>
      <w:r w:rsidR="00EF70A9">
        <w:rPr>
          <w:color w:val="000000" w:themeColor="text1"/>
          <w:u w:val="single" w:color="000000" w:themeColor="text1"/>
        </w:rPr>
        <w:t>or</w:t>
      </w:r>
      <w:r w:rsidR="00081BAD">
        <w:rPr>
          <w:color w:val="000000" w:themeColor="text1"/>
          <w:u w:val="single" w:color="000000" w:themeColor="text1"/>
        </w:rPr>
        <w:t xml:space="preserve"> safety of students or staff</w:t>
      </w:r>
      <w:r>
        <w:rPr>
          <w:color w:val="000000" w:themeColor="text1"/>
          <w:u w:val="single" w:color="000000" w:themeColor="text1"/>
        </w:rPr>
        <w:t>;</w:t>
      </w:r>
    </w:p>
    <w:p w14:paraId="617E70A8" w14:textId="21220D0B" w:rsidR="00081BAD" w:rsidRDefault="00C1305F" w:rsidP="0008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305F">
        <w:rPr>
          <w:color w:val="000000" w:themeColor="text1"/>
          <w:u w:color="000000" w:themeColor="text1"/>
        </w:rPr>
        <w:tab/>
      </w:r>
      <w:r w:rsidRPr="00C1305F">
        <w:rPr>
          <w:color w:val="000000" w:themeColor="text1"/>
          <w:u w:color="000000" w:themeColor="text1"/>
        </w:rPr>
        <w:tab/>
      </w:r>
      <w:r>
        <w:rPr>
          <w:color w:val="000000" w:themeColor="text1"/>
          <w:u w:val="single" w:color="000000" w:themeColor="text1"/>
        </w:rPr>
        <w:t>(b)</w:t>
      </w:r>
      <w:r w:rsidRPr="00C1305F">
        <w:rPr>
          <w:color w:val="000000" w:themeColor="text1"/>
          <w:u w:color="000000" w:themeColor="text1"/>
        </w:rPr>
        <w:tab/>
      </w:r>
      <w:r w:rsidR="00003F00">
        <w:rPr>
          <w:color w:val="000000" w:themeColor="text1"/>
          <w:u w:val="single" w:color="000000" w:themeColor="text1"/>
        </w:rPr>
        <w:t xml:space="preserve">the needed upgrades and repairs to maintain </w:t>
      </w:r>
      <w:r>
        <w:rPr>
          <w:color w:val="000000" w:themeColor="text1"/>
          <w:u w:val="single" w:color="000000" w:themeColor="text1"/>
        </w:rPr>
        <w:t>a</w:t>
      </w:r>
      <w:r w:rsidR="00003F00">
        <w:rPr>
          <w:color w:val="000000" w:themeColor="text1"/>
          <w:u w:val="single" w:color="000000" w:themeColor="text1"/>
        </w:rPr>
        <w:t xml:space="preserve"> </w:t>
      </w:r>
      <w:r w:rsidR="00B323BB">
        <w:rPr>
          <w:color w:val="000000" w:themeColor="text1"/>
          <w:u w:val="single" w:color="000000" w:themeColor="text1"/>
        </w:rPr>
        <w:t xml:space="preserve">school </w:t>
      </w:r>
      <w:r w:rsidR="00DD237D">
        <w:rPr>
          <w:color w:val="000000" w:themeColor="text1"/>
          <w:u w:val="single" w:color="000000" w:themeColor="text1"/>
        </w:rPr>
        <w:t xml:space="preserve">building or </w:t>
      </w:r>
      <w:r w:rsidR="00003F00">
        <w:rPr>
          <w:color w:val="000000" w:themeColor="text1"/>
          <w:u w:val="single" w:color="000000" w:themeColor="text1"/>
        </w:rPr>
        <w:t>structure are economically unfeasible</w:t>
      </w:r>
      <w:r w:rsidR="00081BAD" w:rsidRPr="00202EB9">
        <w:rPr>
          <w:color w:val="000000" w:themeColor="text1"/>
          <w:u w:val="single" w:color="000000" w:themeColor="text1"/>
        </w:rPr>
        <w:t>;</w:t>
      </w:r>
      <w:r w:rsidRPr="00202EB9">
        <w:rPr>
          <w:color w:val="000000" w:themeColor="text1"/>
          <w:u w:val="single" w:color="000000" w:themeColor="text1"/>
        </w:rPr>
        <w:t xml:space="preserve"> or</w:t>
      </w:r>
    </w:p>
    <w:p w14:paraId="4AB4D118" w14:textId="49FDCD7F" w:rsidR="00C1305F" w:rsidRPr="00C1305F" w:rsidRDefault="00C1305F" w:rsidP="0008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Pr>
          <w:color w:val="000000" w:themeColor="text1"/>
          <w:u w:val="single" w:color="000000" w:themeColor="text1"/>
        </w:rPr>
        <w:t xml:space="preserve">a </w:t>
      </w:r>
      <w:r w:rsidR="00B323BB">
        <w:rPr>
          <w:color w:val="000000" w:themeColor="text1"/>
          <w:u w:val="single" w:color="000000" w:themeColor="text1"/>
        </w:rPr>
        <w:t xml:space="preserve">school </w:t>
      </w:r>
      <w:r>
        <w:rPr>
          <w:color w:val="000000" w:themeColor="text1"/>
          <w:u w:val="single" w:color="000000" w:themeColor="text1"/>
        </w:rPr>
        <w:t xml:space="preserve">building or structure is underutilized and the use of another </w:t>
      </w:r>
      <w:r w:rsidR="00B323BB">
        <w:rPr>
          <w:color w:val="000000" w:themeColor="text1"/>
          <w:u w:val="single" w:color="000000" w:themeColor="text1"/>
        </w:rPr>
        <w:t xml:space="preserve">school </w:t>
      </w:r>
      <w:r>
        <w:rPr>
          <w:color w:val="000000" w:themeColor="text1"/>
          <w:u w:val="single" w:color="000000" w:themeColor="text1"/>
        </w:rPr>
        <w:t>building or structure is feasible</w:t>
      </w:r>
      <w:r w:rsidR="00EF70A9">
        <w:rPr>
          <w:color w:val="000000" w:themeColor="text1"/>
          <w:u w:color="000000" w:themeColor="text1"/>
        </w:rPr>
        <w:t>;</w:t>
      </w:r>
      <w:r>
        <w:rPr>
          <w:color w:val="000000" w:themeColor="text1"/>
          <w:u w:color="000000" w:themeColor="text1"/>
        </w:rPr>
        <w:t>”</w:t>
      </w:r>
    </w:p>
    <w:p w14:paraId="15C66D6C" w14:textId="77777777" w:rsidR="00E23A32" w:rsidRDefault="00E23A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608AB1" w14:textId="77777777" w:rsidR="00E23A32" w:rsidRPr="00522CE0" w:rsidRDefault="00E23A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81BAD">
        <w:rPr>
          <w:rFonts w:eastAsia="Times New Roman"/>
        </w:rPr>
        <w:t>2</w:t>
      </w:r>
      <w:r>
        <w:rPr>
          <w:rFonts w:eastAsia="Times New Roman"/>
        </w:rPr>
        <w:t>.</w:t>
      </w:r>
      <w:r>
        <w:rPr>
          <w:rFonts w:eastAsia="Times New Roman"/>
        </w:rPr>
        <w:tab/>
        <w:t>This act takes effect upon approval by the Governor.</w:t>
      </w:r>
    </w:p>
    <w:p w14:paraId="34E760A9" w14:textId="4738A933" w:rsidR="00B47FFC" w:rsidRDefault="009E04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7B8E54F" w14:textId="77777777" w:rsidR="009B69F4" w:rsidRDefault="009B69F4" w:rsidP="009B69F4">
      <w:pPr>
        <w:suppressAutoHyphens/>
        <w:jc w:val="both"/>
        <w:rPr>
          <w:rFonts w:eastAsia="Times New Roman"/>
        </w:rPr>
      </w:pPr>
    </w:p>
    <w:sectPr w:rsidR="009B69F4" w:rsidSect="00C721B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082A09" w14:textId="77777777" w:rsidR="00EF70A9" w:rsidRDefault="00EF70A9" w:rsidP="00522CE0">
      <w:r>
        <w:separator/>
      </w:r>
    </w:p>
  </w:endnote>
  <w:endnote w:type="continuationSeparator" w:id="0">
    <w:p w14:paraId="621F85E0" w14:textId="77777777" w:rsidR="00EF70A9" w:rsidRDefault="00EF70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DD1D60-0655-4BCF-A154-5EE1D86FF46D}"/>
    <w:embedBold r:id="rId2" w:fontKey="{38C6F228-36C6-421A-9A77-0D08AB212AD7}"/>
  </w:font>
  <w:font w:name="Calibri">
    <w:panose1 w:val="020F0502020204030204"/>
    <w:charset w:val="00"/>
    <w:family w:val="swiss"/>
    <w:pitch w:val="variable"/>
    <w:sig w:usb0="E0002EFF" w:usb1="C000247B" w:usb2="00000009" w:usb3="00000000" w:csb0="000001FF" w:csb1="00000000"/>
    <w:embedRegular r:id="rId3" w:fontKey="{F04D2CE5-ED49-4B90-93EA-3E5076901F18}"/>
    <w:embedBold r:id="rId4" w:fontKey="{9710211D-912D-444B-A614-B99A8833C663}"/>
  </w:font>
  <w:font w:name="Segoe UI">
    <w:panose1 w:val="020B0502040204020203"/>
    <w:charset w:val="00"/>
    <w:family w:val="swiss"/>
    <w:pitch w:val="variable"/>
    <w:sig w:usb0="E4002EFF" w:usb1="C000E47F" w:usb2="00000009" w:usb3="00000000" w:csb0="000001FF" w:csb1="00000000"/>
    <w:embedRegular r:id="rId5" w:fontKey="{852DE826-136C-487E-906A-9CA389E39C12}"/>
  </w:font>
  <w:font w:name="Cambria">
    <w:panose1 w:val="02040503050406030204"/>
    <w:charset w:val="00"/>
    <w:family w:val="roman"/>
    <w:pitch w:val="variable"/>
    <w:sig w:usb0="E00006FF" w:usb1="420024FF" w:usb2="02000000" w:usb3="00000000" w:csb0="0000019F" w:csb1="00000000"/>
    <w:embedRegular r:id="rId6" w:fontKey="{AC2B01E9-937F-4C4E-B6FA-E68F1D5BFE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713CE" w14:textId="315AE794" w:rsidR="00B47FFC" w:rsidRPr="004A2FA8" w:rsidRDefault="004A2FA8" w:rsidP="004A2FA8">
    <w:pPr>
      <w:pStyle w:val="Footer"/>
      <w:tabs>
        <w:tab w:val="clear" w:pos="4680"/>
        <w:tab w:val="clear" w:pos="9360"/>
        <w:tab w:val="center" w:pos="2995"/>
      </w:tabs>
      <w:spacing w:before="120"/>
    </w:pPr>
    <w:r>
      <w:t>[515</w:t>
    </w:r>
    <w:r w:rsidR="00C721B0">
      <w:t>-</w:t>
    </w:r>
    <w:r w:rsidR="00C721B0">
      <w:fldChar w:fldCharType="begin"/>
    </w:r>
    <w:r w:rsidR="00C721B0">
      <w:instrText xml:space="preserve"> PAGE  \* MERGEFORMAT </w:instrText>
    </w:r>
    <w:r w:rsidR="00C721B0">
      <w:fldChar w:fldCharType="separate"/>
    </w:r>
    <w:r w:rsidR="004255D3">
      <w:rPr>
        <w:noProof/>
      </w:rPr>
      <w:t>1</w:t>
    </w:r>
    <w:r w:rsidR="00C721B0">
      <w:fldChar w:fldCharType="end"/>
    </w:r>
    <w:r w:rsidR="00C721B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6D181" w14:textId="3F582C90" w:rsidR="00C721B0" w:rsidRPr="004A2FA8" w:rsidRDefault="00C721B0" w:rsidP="004A2FA8">
    <w:pPr>
      <w:pStyle w:val="Footer"/>
      <w:tabs>
        <w:tab w:val="clear" w:pos="4680"/>
        <w:tab w:val="clear" w:pos="9360"/>
        <w:tab w:val="center" w:pos="2995"/>
      </w:tabs>
      <w:spacing w:before="120"/>
    </w:pPr>
    <w:r>
      <w:t>[515]</w:t>
    </w:r>
    <w:r>
      <w:tab/>
    </w:r>
    <w:r>
      <w:fldChar w:fldCharType="begin"/>
    </w:r>
    <w:r>
      <w:instrText xml:space="preserve"> PAGE  \* MERGEFORMAT </w:instrText>
    </w:r>
    <w:r>
      <w:fldChar w:fldCharType="separate"/>
    </w:r>
    <w:r w:rsidR="009B69F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AED707" w14:textId="77777777" w:rsidR="00EF70A9" w:rsidRDefault="00EF70A9" w:rsidP="00522CE0">
      <w:r>
        <w:separator/>
      </w:r>
    </w:p>
  </w:footnote>
  <w:footnote w:type="continuationSeparator" w:id="0">
    <w:p w14:paraId="119B4F46" w14:textId="77777777" w:rsidR="00EF70A9" w:rsidRDefault="00EF70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ORAN.SP.VS"/>
    <w:docVar w:name="CoverAttorneyInitials" w:val="SP"/>
    <w:docVar w:name="CoverAttorneyLastName" w:val="Parrish"/>
    <w:docVar w:name="CoverBillType" w:val="b"/>
    <w:docVar w:name="CoverSenator" w:val="VS"/>
    <w:docVar w:name="dvBillNumber" w:val="515"/>
    <w:docVar w:name="dvBillNumberPrefix" w:val="S. "/>
    <w:docVar w:name="dvOriginalBody" w:val="Senate"/>
    <w:docVar w:name="fulldraftpath" w:val="L:\S-RES\VS\002ORAN.SP.VS.DOCX"/>
    <w:docVar w:name="NameofBody" w:val="S"/>
    <w:docVar w:name="vgroup2" w:val="S-RES"/>
  </w:docVars>
  <w:rsids>
    <w:rsidRoot w:val="00E23A32"/>
    <w:rsid w:val="00003F00"/>
    <w:rsid w:val="00042AC1"/>
    <w:rsid w:val="00046516"/>
    <w:rsid w:val="00072458"/>
    <w:rsid w:val="0007601D"/>
    <w:rsid w:val="00081BAD"/>
    <w:rsid w:val="000B0720"/>
    <w:rsid w:val="000B3967"/>
    <w:rsid w:val="000B5EAF"/>
    <w:rsid w:val="001315B2"/>
    <w:rsid w:val="00170561"/>
    <w:rsid w:val="00174988"/>
    <w:rsid w:val="00186AC9"/>
    <w:rsid w:val="00197DF1"/>
    <w:rsid w:val="001B3DD9"/>
    <w:rsid w:val="001B7E5D"/>
    <w:rsid w:val="001D3BAC"/>
    <w:rsid w:val="00202EB9"/>
    <w:rsid w:val="00216025"/>
    <w:rsid w:val="0023166F"/>
    <w:rsid w:val="00245C4E"/>
    <w:rsid w:val="002C1321"/>
    <w:rsid w:val="002C2031"/>
    <w:rsid w:val="002C5896"/>
    <w:rsid w:val="002D3BED"/>
    <w:rsid w:val="002D4BCD"/>
    <w:rsid w:val="00307C2B"/>
    <w:rsid w:val="00315D04"/>
    <w:rsid w:val="00383247"/>
    <w:rsid w:val="003D6E2B"/>
    <w:rsid w:val="003E7597"/>
    <w:rsid w:val="00413EBF"/>
    <w:rsid w:val="004255D3"/>
    <w:rsid w:val="0044020F"/>
    <w:rsid w:val="00450668"/>
    <w:rsid w:val="00454138"/>
    <w:rsid w:val="004813A2"/>
    <w:rsid w:val="004952FA"/>
    <w:rsid w:val="004A2FA8"/>
    <w:rsid w:val="004B6A22"/>
    <w:rsid w:val="004D7F37"/>
    <w:rsid w:val="00522CE0"/>
    <w:rsid w:val="00541951"/>
    <w:rsid w:val="00565148"/>
    <w:rsid w:val="00570403"/>
    <w:rsid w:val="00577450"/>
    <w:rsid w:val="00593361"/>
    <w:rsid w:val="005A413B"/>
    <w:rsid w:val="005A5017"/>
    <w:rsid w:val="005A648C"/>
    <w:rsid w:val="005E0BFD"/>
    <w:rsid w:val="005F07AC"/>
    <w:rsid w:val="005F1745"/>
    <w:rsid w:val="006A1802"/>
    <w:rsid w:val="006C0CBB"/>
    <w:rsid w:val="006C74EA"/>
    <w:rsid w:val="006F56CF"/>
    <w:rsid w:val="00720D40"/>
    <w:rsid w:val="007318D4"/>
    <w:rsid w:val="00751E9A"/>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B69F4"/>
    <w:rsid w:val="009C118A"/>
    <w:rsid w:val="009C42CF"/>
    <w:rsid w:val="009E0434"/>
    <w:rsid w:val="00A02011"/>
    <w:rsid w:val="00A21F35"/>
    <w:rsid w:val="00A4011E"/>
    <w:rsid w:val="00A86015"/>
    <w:rsid w:val="00A9594E"/>
    <w:rsid w:val="00AE59C8"/>
    <w:rsid w:val="00B10098"/>
    <w:rsid w:val="00B323BB"/>
    <w:rsid w:val="00B47FFC"/>
    <w:rsid w:val="00B5790D"/>
    <w:rsid w:val="00B945C5"/>
    <w:rsid w:val="00BA20EA"/>
    <w:rsid w:val="00BB5AFC"/>
    <w:rsid w:val="00BC026E"/>
    <w:rsid w:val="00BC0A56"/>
    <w:rsid w:val="00C1305F"/>
    <w:rsid w:val="00C45366"/>
    <w:rsid w:val="00C57023"/>
    <w:rsid w:val="00C721B0"/>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237D"/>
    <w:rsid w:val="00DE5635"/>
    <w:rsid w:val="00E058D3"/>
    <w:rsid w:val="00E12CA0"/>
    <w:rsid w:val="00E2236D"/>
    <w:rsid w:val="00E23A32"/>
    <w:rsid w:val="00E76AD9"/>
    <w:rsid w:val="00E86EE2"/>
    <w:rsid w:val="00E91E2F"/>
    <w:rsid w:val="00EA3546"/>
    <w:rsid w:val="00EB47AE"/>
    <w:rsid w:val="00EC34E1"/>
    <w:rsid w:val="00EF70A9"/>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A3B6F35"/>
  <w15:docId w15:val="{D013C3C5-7673-45C5-97F3-E4DFF0A5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81B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BAD"/>
    <w:rPr>
      <w:rFonts w:ascii="Segoe UI" w:hAnsi="Segoe UI" w:cs="Segoe UI"/>
      <w:sz w:val="18"/>
      <w:szCs w:val="18"/>
    </w:rPr>
  </w:style>
  <w:style w:type="character" w:styleId="CommentReference">
    <w:name w:val="annotation reference"/>
    <w:basedOn w:val="DefaultParagraphFont"/>
    <w:uiPriority w:val="99"/>
    <w:semiHidden/>
    <w:unhideWhenUsed/>
    <w:rsid w:val="00751E9A"/>
    <w:rPr>
      <w:sz w:val="16"/>
      <w:szCs w:val="16"/>
    </w:rPr>
  </w:style>
  <w:style w:type="paragraph" w:styleId="CommentText">
    <w:name w:val="annotation text"/>
    <w:basedOn w:val="Normal"/>
    <w:link w:val="CommentTextChar"/>
    <w:uiPriority w:val="99"/>
    <w:semiHidden/>
    <w:unhideWhenUsed/>
    <w:rsid w:val="00751E9A"/>
    <w:rPr>
      <w:sz w:val="20"/>
      <w:szCs w:val="20"/>
    </w:rPr>
  </w:style>
  <w:style w:type="character" w:customStyle="1" w:styleId="CommentTextChar">
    <w:name w:val="Comment Text Char"/>
    <w:basedOn w:val="DefaultParagraphFont"/>
    <w:link w:val="CommentText"/>
    <w:uiPriority w:val="99"/>
    <w:semiHidden/>
    <w:rsid w:val="00751E9A"/>
    <w:rPr>
      <w:sz w:val="20"/>
      <w:szCs w:val="20"/>
    </w:rPr>
  </w:style>
  <w:style w:type="paragraph" w:styleId="CommentSubject">
    <w:name w:val="annotation subject"/>
    <w:basedOn w:val="CommentText"/>
    <w:next w:val="CommentText"/>
    <w:link w:val="CommentSubjectChar"/>
    <w:uiPriority w:val="99"/>
    <w:semiHidden/>
    <w:unhideWhenUsed/>
    <w:rsid w:val="00751E9A"/>
    <w:rPr>
      <w:b/>
      <w:bCs/>
    </w:rPr>
  </w:style>
  <w:style w:type="character" w:customStyle="1" w:styleId="CommentSubjectChar">
    <w:name w:val="Comment Subject Char"/>
    <w:basedOn w:val="CommentTextChar"/>
    <w:link w:val="CommentSubject"/>
    <w:uiPriority w:val="99"/>
    <w:semiHidden/>
    <w:rsid w:val="00751E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439</Words>
  <Characters>2241</Characters>
  <Application>Microsoft Office Word</Application>
  <DocSecurity>0</DocSecurity>
  <Lines>75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515 Text of Previous Version (Feb. 3, 2021) - South Carolina Legislature Online</dc:title>
  <dc:subject/>
  <dc:creator>Sara Parrish</dc:creator>
  <cp:keywords/>
  <dc:description/>
  <cp:lastModifiedBy>Danny Crook</cp:lastModifiedBy>
  <cp:revision>2</cp:revision>
  <cp:lastPrinted>2021-02-02T15:03:00Z</cp:lastPrinted>
  <dcterms:created xsi:type="dcterms:W3CDTF">2021-02-04T00:58:00Z</dcterms:created>
  <dcterms:modified xsi:type="dcterms:W3CDTF">2021-02-04T00:58:00Z</dcterms:modified>
</cp:coreProperties>
</file>