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A4D70" w14:textId="63CCD6E2" w:rsidR="00C721B0"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strike/>
        </w:rPr>
        <w:t>Indicates Matter Stricken</w:t>
      </w:r>
    </w:p>
    <w:p w14:paraId="445C9436" w14:textId="7C15C0A7"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u w:val="single"/>
        </w:rPr>
        <w:t>Indicates New Matter</w:t>
      </w:r>
    </w:p>
    <w:p w14:paraId="31A5AA7F" w14:textId="34A221FA"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4AFE3E86" w14:textId="3E23F6E4"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COMMITTEE REPORT</w:t>
      </w:r>
    </w:p>
    <w:p w14:paraId="04C3678B" w14:textId="6123AFE1"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April 6, 2021</w:t>
      </w:r>
    </w:p>
    <w:p w14:paraId="5A605D1D" w14:textId="26503ACA"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6EEC19E8" w14:textId="536964AA" w:rsidR="00CA07C6" w:rsidRPr="00CA07C6" w:rsidRDefault="00CA07C6" w:rsidP="00CA07C6">
      <w:pPr>
        <w:tabs>
          <w:tab w:val="right" w:pos="5933"/>
        </w:tabs>
        <w:suppressAutoHyphens/>
        <w:rPr>
          <w:rFonts w:eastAsia="Times New Roman"/>
        </w:rPr>
      </w:pPr>
      <w:r>
        <w:rPr>
          <w:rFonts w:eastAsia="Times New Roman"/>
        </w:rPr>
        <w:tab/>
      </w:r>
      <w:r>
        <w:rPr>
          <w:rFonts w:eastAsia="Times New Roman"/>
          <w:b/>
          <w:sz w:val="36"/>
        </w:rPr>
        <w:t>S. 515</w:t>
      </w:r>
    </w:p>
    <w:p w14:paraId="40B72D0E" w14:textId="473D8E6C"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1F8D9077" w14:textId="15336EA7"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D4B1B">
        <w:t>Senators Stephens and Hutto</w:t>
      </w:r>
    </w:p>
    <w:p w14:paraId="7CCD63CC" w14:textId="37381A66"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7E598588" w14:textId="7944C9E5"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 Printed 4/6/21--H.</w:t>
      </w:r>
    </w:p>
    <w:p w14:paraId="5F0245C2" w14:textId="4B118B69"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February 17, 2021.</w:t>
      </w:r>
    </w:p>
    <w:p w14:paraId="38CFBF77" w14:textId="3BDC83EA"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64643D0" w14:textId="6C9F386B"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33445D8E" w14:textId="4BDE25F2"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ORANGEBURG DELEGATION</w:t>
      </w:r>
    </w:p>
    <w:p w14:paraId="0BC69866" w14:textId="68B32839"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To whom was referred a Bi</w:t>
      </w:r>
      <w:r w:rsidR="0047119E">
        <w:rPr>
          <w:rFonts w:eastAsia="Times New Roman"/>
        </w:rPr>
        <w:t>ll (S. 515) to amend Section 3(B</w:t>
      </w:r>
      <w:r>
        <w:rPr>
          <w:rFonts w:eastAsia="Times New Roman"/>
        </w:rPr>
        <w:t>)(5) of Act 280 of 2018, relating to the Orangeburg County School District Board of Trustees’ duty to adopt attendance zones, to provide, etc., respectfully</w:t>
      </w:r>
    </w:p>
    <w:p w14:paraId="6DD7C4AD" w14:textId="51E0C9F2"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013A86E" w14:textId="5F4FA580"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That they have duly and carefully considered the same and recommend that the same do pass:</w:t>
      </w:r>
    </w:p>
    <w:p w14:paraId="0D8D16CA" w14:textId="77777777"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37928BD" w14:textId="30FA384F"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GILDA COBB-HUNTER for the Delegation.</w:t>
      </w:r>
    </w:p>
    <w:p w14:paraId="44E948DC" w14:textId="34979C83" w:rsidR="00CA07C6" w:rsidRPr="00C721B0"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226C2A" w14:textId="1C6DDC22"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2BFC5" w14:textId="7777777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21B0" w:rsidSect="00C721B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100FA83" w14:textId="74E8CF2A" w:rsidR="004A2FA8" w:rsidRPr="00522CE0" w:rsidRDefault="004A2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BAD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4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C1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F37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25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DCE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735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C1FD" w14:textId="77777777" w:rsidR="00522CE0" w:rsidRPr="008F023B" w:rsidRDefault="00522CE0" w:rsidP="004A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3A32">
        <w:rPr>
          <w:rFonts w:eastAsia="Times New Roman"/>
          <w:b/>
          <w:sz w:val="30"/>
          <w:szCs w:val="30"/>
        </w:rPr>
        <w:t>BILL</w:t>
      </w:r>
    </w:p>
    <w:p w14:paraId="5F22E1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BF663" w14:textId="764745CE" w:rsidR="00522CE0" w:rsidRP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1BAD">
        <w:rPr>
          <w:rFonts w:eastAsia="Times New Roman"/>
        </w:rPr>
        <w:t>TO AMEND SECTION 3(B)(5) OF ACT 280 OF 2018,</w:t>
      </w:r>
      <w:r w:rsidR="00EF70A9">
        <w:rPr>
          <w:rFonts w:eastAsia="Times New Roman"/>
        </w:rPr>
        <w:t xml:space="preserve"> RELATING TO THE ORANGEBURG COUNTY SCHOOL DISTRICT BOARD OF TRUSTEES’ DUTY TO ADOPT ATTENDANCE ZONES,</w:t>
      </w:r>
      <w:r w:rsidRPr="00081BAD">
        <w:rPr>
          <w:rFonts w:eastAsia="Times New Roman"/>
        </w:rPr>
        <w:t xml:space="preserve"> TO PROVIDE </w:t>
      </w:r>
      <w:r w:rsidR="0023166F">
        <w:rPr>
          <w:rFonts w:eastAsia="Times New Roman"/>
        </w:rPr>
        <w:t>THAT THE BOARD’S DUTY TO ADOPT ATTENDANCE ZONES AND RELATED PROVISIONS SHALL NOT APPLY</w:t>
      </w:r>
      <w:r w:rsidRPr="00081BAD">
        <w:rPr>
          <w:rFonts w:eastAsia="Times New Roman"/>
        </w:rPr>
        <w:t xml:space="preserve"> </w:t>
      </w:r>
      <w:r w:rsidR="0023166F">
        <w:rPr>
          <w:rFonts w:eastAsia="Times New Roman"/>
        </w:rPr>
        <w:t xml:space="preserve">IF </w:t>
      </w:r>
      <w:r w:rsidR="00DD237D" w:rsidRPr="00DD237D">
        <w:rPr>
          <w:color w:val="000000" w:themeColor="text1"/>
        </w:rPr>
        <w:t xml:space="preserve">THE BOARD DETERMINES THAT A BUILDING OR STRUCTURE IS AN IMMINENT THREAT TO THE HEALTH </w:t>
      </w:r>
      <w:r w:rsidR="00EF70A9">
        <w:rPr>
          <w:color w:val="000000" w:themeColor="text1"/>
        </w:rPr>
        <w:t>OR</w:t>
      </w:r>
      <w:r w:rsidR="00DD237D" w:rsidRPr="00DD237D">
        <w:rPr>
          <w:color w:val="000000" w:themeColor="text1"/>
        </w:rPr>
        <w:t xml:space="preserve"> SAFETY OF STUDENTS OR STAFF, THE NEEDED UPGRADES AND REPAIRS TO MAINTAIN </w:t>
      </w:r>
      <w:r w:rsidR="00C1305F">
        <w:rPr>
          <w:color w:val="000000" w:themeColor="text1"/>
        </w:rPr>
        <w:t>A</w:t>
      </w:r>
      <w:r w:rsidR="00DD237D" w:rsidRPr="00DD237D">
        <w:rPr>
          <w:color w:val="000000" w:themeColor="text1"/>
        </w:rPr>
        <w:t xml:space="preserve"> BUILDING OR STRUCTURE ARE ECONOMICALLY UNFEASIBLE</w:t>
      </w:r>
      <w:r w:rsidR="00EF70A9">
        <w:rPr>
          <w:color w:val="000000" w:themeColor="text1"/>
        </w:rPr>
        <w:t>,</w:t>
      </w:r>
      <w:r w:rsidR="00C1305F">
        <w:rPr>
          <w:color w:val="000000" w:themeColor="text1"/>
        </w:rPr>
        <w:t xml:space="preserve"> OR </w:t>
      </w:r>
      <w:r w:rsidR="00C1305F" w:rsidRPr="00C1305F">
        <w:rPr>
          <w:color w:val="000000" w:themeColor="text1"/>
        </w:rPr>
        <w:t>A BUILDING OR STRUCTURE IS UNDERUTILIZED AND THE USE OF ANOTHER BUILDING OR STRUCTURE IS FEASIBLE</w:t>
      </w:r>
      <w:r w:rsidR="00DD237D" w:rsidRPr="00DD237D">
        <w:rPr>
          <w:color w:val="000000" w:themeColor="text1"/>
        </w:rPr>
        <w:t>.</w:t>
      </w:r>
      <w:bookmarkEnd w:id="1"/>
    </w:p>
    <w:p w14:paraId="299812C0" w14:textId="13AF9524" w:rsidR="00522CE0"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2419C8A"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420F9"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41C667"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51E01" w14:textId="717A9E59"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BAD">
        <w:rPr>
          <w:rFonts w:eastAsia="Times New Roman"/>
        </w:rPr>
        <w:t>SECTION 3(B)(5) of Act 280 of 2018 is amended to read:</w:t>
      </w:r>
    </w:p>
    <w:p w14:paraId="693CFC3B" w14:textId="77777777" w:rsid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17C5" w14:textId="23B416B1" w:rsidR="00C1305F" w:rsidRDefault="00081BAD" w:rsidP="00EF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sidR="00EF70A9">
        <w:rPr>
          <w:color w:val="000000" w:themeColor="text1"/>
          <w:u w:color="000000" w:themeColor="text1"/>
        </w:rPr>
        <w:t>“</w:t>
      </w:r>
      <w:r w:rsidRPr="001B5C56">
        <w:rPr>
          <w:color w:val="000000" w:themeColor="text1"/>
          <w:u w:color="000000" w:themeColor="text1"/>
        </w:rPr>
        <w:t>(5)</w:t>
      </w:r>
      <w:r w:rsidRPr="001B5C56">
        <w:rPr>
          <w:color w:val="000000" w:themeColor="text1"/>
          <w:u w:color="000000" w:themeColor="text1"/>
        </w:rPr>
        <w:tab/>
        <w:t>adopt attendance zones of schools within the school district except that, through school year 2021</w:t>
      </w:r>
      <w:r w:rsidR="009E0434">
        <w:rPr>
          <w:color w:val="000000" w:themeColor="text1"/>
          <w:u w:color="000000" w:themeColor="text1"/>
        </w:rPr>
        <w:noBreakHyphen/>
      </w:r>
      <w:r w:rsidRPr="001B5C56">
        <w:rPr>
          <w:color w:val="000000" w:themeColor="text1"/>
          <w:u w:color="000000" w:themeColor="text1"/>
        </w:rPr>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w:t>
      </w:r>
      <w:r w:rsidRPr="001B5C56">
        <w:rPr>
          <w:color w:val="000000" w:themeColor="text1"/>
          <w:u w:color="000000" w:themeColor="text1"/>
        </w:rPr>
        <w:lastRenderedPageBreak/>
        <w:t>the students of that school moved to a school in another attendance area, the qualified electors within the attendance area where the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r>
        <w:rPr>
          <w:color w:val="000000" w:themeColor="text1"/>
          <w:u w:val="single" w:color="000000" w:themeColor="text1"/>
        </w:rPr>
        <w:t>.</w:t>
      </w:r>
      <w:r w:rsidR="00EF70A9">
        <w:rPr>
          <w:color w:val="000000" w:themeColor="text1"/>
          <w:u w:val="single" w:color="000000" w:themeColor="text1"/>
        </w:rPr>
        <w:t xml:space="preserve"> T</w:t>
      </w:r>
      <w:r>
        <w:rPr>
          <w:color w:val="000000" w:themeColor="text1"/>
          <w:u w:val="single" w:color="000000" w:themeColor="text1"/>
        </w:rPr>
        <w:t>he</w:t>
      </w:r>
      <w:r w:rsidR="00003F00">
        <w:rPr>
          <w:color w:val="000000" w:themeColor="text1"/>
          <w:u w:val="single" w:color="000000" w:themeColor="text1"/>
        </w:rPr>
        <w:t xml:space="preserve"> provisions of </w:t>
      </w:r>
      <w:r w:rsidR="00EF70A9">
        <w:rPr>
          <w:color w:val="000000" w:themeColor="text1"/>
          <w:u w:val="single" w:color="000000" w:themeColor="text1"/>
        </w:rPr>
        <w:t>this item</w:t>
      </w:r>
      <w:r w:rsidR="00003F00">
        <w:rPr>
          <w:color w:val="000000" w:themeColor="text1"/>
          <w:u w:val="single" w:color="000000" w:themeColor="text1"/>
        </w:rPr>
        <w:t xml:space="preserve"> do not apply</w:t>
      </w:r>
      <w:r>
        <w:rPr>
          <w:color w:val="000000" w:themeColor="text1"/>
          <w:u w:val="single" w:color="000000" w:themeColor="text1"/>
        </w:rPr>
        <w:t xml:space="preserve"> </w:t>
      </w:r>
      <w:r w:rsidR="00003F00">
        <w:rPr>
          <w:color w:val="000000" w:themeColor="text1"/>
          <w:u w:val="single" w:color="000000" w:themeColor="text1"/>
        </w:rPr>
        <w:t>if the board determines that</w:t>
      </w:r>
      <w:r w:rsidR="00C1305F">
        <w:rPr>
          <w:color w:val="000000" w:themeColor="text1"/>
          <w:u w:val="single" w:color="000000" w:themeColor="text1"/>
        </w:rPr>
        <w:t>:</w:t>
      </w:r>
    </w:p>
    <w:p w14:paraId="56CBBF80" w14:textId="447C7B68" w:rsid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(a)</w:t>
      </w:r>
      <w:r w:rsidRPr="00C1305F">
        <w:rPr>
          <w:color w:val="000000" w:themeColor="text1"/>
          <w:u w:color="000000" w:themeColor="text1"/>
        </w:rPr>
        <w:tab/>
      </w:r>
      <w:r w:rsidR="00081BAD">
        <w:rPr>
          <w:color w:val="000000" w:themeColor="text1"/>
          <w:u w:val="single" w:color="000000" w:themeColor="text1"/>
        </w:rPr>
        <w:t xml:space="preserve">a </w:t>
      </w:r>
      <w:r w:rsidR="00B323BB">
        <w:rPr>
          <w:color w:val="000000" w:themeColor="text1"/>
          <w:u w:val="single" w:color="000000" w:themeColor="text1"/>
        </w:rPr>
        <w:t xml:space="preserve">school </w:t>
      </w:r>
      <w:r w:rsidR="00081BAD">
        <w:rPr>
          <w:color w:val="000000" w:themeColor="text1"/>
          <w:u w:val="single" w:color="000000" w:themeColor="text1"/>
        </w:rPr>
        <w:t xml:space="preserve">building or structure is an imminent threat </w:t>
      </w:r>
      <w:r w:rsidR="00003F00">
        <w:rPr>
          <w:color w:val="000000" w:themeColor="text1"/>
          <w:u w:val="single" w:color="000000" w:themeColor="text1"/>
        </w:rPr>
        <w:t>to</w:t>
      </w:r>
      <w:r w:rsidR="00081BAD">
        <w:rPr>
          <w:color w:val="000000" w:themeColor="text1"/>
          <w:u w:val="single" w:color="000000" w:themeColor="text1"/>
        </w:rPr>
        <w:t xml:space="preserve"> the health </w:t>
      </w:r>
      <w:r w:rsidR="00EF70A9">
        <w:rPr>
          <w:color w:val="000000" w:themeColor="text1"/>
          <w:u w:val="single" w:color="000000" w:themeColor="text1"/>
        </w:rPr>
        <w:t>or</w:t>
      </w:r>
      <w:r w:rsidR="00081BAD">
        <w:rPr>
          <w:color w:val="000000" w:themeColor="text1"/>
          <w:u w:val="single" w:color="000000" w:themeColor="text1"/>
        </w:rPr>
        <w:t xml:space="preserve"> safety of students or staff</w:t>
      </w:r>
      <w:r>
        <w:rPr>
          <w:color w:val="000000" w:themeColor="text1"/>
          <w:u w:val="single" w:color="000000" w:themeColor="text1"/>
        </w:rPr>
        <w:t>;</w:t>
      </w:r>
    </w:p>
    <w:p w14:paraId="617E70A8" w14:textId="21220D0B" w:rsidR="00081BAD"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(b)</w:t>
      </w:r>
      <w:r w:rsidRPr="00C1305F">
        <w:rPr>
          <w:color w:val="000000" w:themeColor="text1"/>
          <w:u w:color="000000" w:themeColor="text1"/>
        </w:rPr>
        <w:tab/>
      </w:r>
      <w:r w:rsidR="00003F00">
        <w:rPr>
          <w:color w:val="000000" w:themeColor="text1"/>
          <w:u w:val="single" w:color="000000" w:themeColor="text1"/>
        </w:rPr>
        <w:t xml:space="preserve">the needed upgrades and repairs to maintain </w:t>
      </w:r>
      <w:r>
        <w:rPr>
          <w:color w:val="000000" w:themeColor="text1"/>
          <w:u w:val="single" w:color="000000" w:themeColor="text1"/>
        </w:rPr>
        <w:t>a</w:t>
      </w:r>
      <w:r w:rsidR="00003F00">
        <w:rPr>
          <w:color w:val="000000" w:themeColor="text1"/>
          <w:u w:val="single" w:color="000000" w:themeColor="text1"/>
        </w:rPr>
        <w:t xml:space="preserve"> </w:t>
      </w:r>
      <w:r w:rsidR="00B323BB">
        <w:rPr>
          <w:color w:val="000000" w:themeColor="text1"/>
          <w:u w:val="single" w:color="000000" w:themeColor="text1"/>
        </w:rPr>
        <w:t xml:space="preserve">school </w:t>
      </w:r>
      <w:r w:rsidR="00DD237D">
        <w:rPr>
          <w:color w:val="000000" w:themeColor="text1"/>
          <w:u w:val="single" w:color="000000" w:themeColor="text1"/>
        </w:rPr>
        <w:t xml:space="preserve">building or </w:t>
      </w:r>
      <w:r w:rsidR="00003F00">
        <w:rPr>
          <w:color w:val="000000" w:themeColor="text1"/>
          <w:u w:val="single" w:color="000000" w:themeColor="text1"/>
        </w:rPr>
        <w:t>structure are economically unfeasible</w:t>
      </w:r>
      <w:r w:rsidR="00081BAD" w:rsidRPr="00202EB9">
        <w:rPr>
          <w:color w:val="000000" w:themeColor="text1"/>
          <w:u w:val="single" w:color="000000" w:themeColor="text1"/>
        </w:rPr>
        <w:t>;</w:t>
      </w:r>
      <w:r w:rsidRPr="00202EB9">
        <w:rPr>
          <w:color w:val="000000" w:themeColor="text1"/>
          <w:u w:val="single" w:color="000000" w:themeColor="text1"/>
        </w:rPr>
        <w:t xml:space="preserve"> or</w:t>
      </w:r>
    </w:p>
    <w:p w14:paraId="4AB4D118" w14:textId="49FDCD7F" w:rsidR="00C1305F" w:rsidRP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75AB4">
        <w:rPr>
          <w:color w:val="000000" w:themeColor="text1"/>
          <w:u w:val="single"/>
        </w:rPr>
        <w:t>(c)</w:t>
      </w:r>
      <w:r>
        <w:rPr>
          <w:color w:val="000000" w:themeColor="text1"/>
          <w:u w:color="000000" w:themeColor="text1"/>
        </w:rPr>
        <w:tab/>
      </w:r>
      <w:r>
        <w:rPr>
          <w:color w:val="000000" w:themeColor="text1"/>
          <w:u w:val="single" w:color="000000" w:themeColor="text1"/>
        </w:rPr>
        <w:t xml:space="preserve">a </w:t>
      </w:r>
      <w:r w:rsidR="00B323BB">
        <w:rPr>
          <w:color w:val="000000" w:themeColor="text1"/>
          <w:u w:val="single" w:color="000000" w:themeColor="text1"/>
        </w:rPr>
        <w:t xml:space="preserve">school </w:t>
      </w:r>
      <w:r>
        <w:rPr>
          <w:color w:val="000000" w:themeColor="text1"/>
          <w:u w:val="single" w:color="000000" w:themeColor="text1"/>
        </w:rPr>
        <w:t xml:space="preserve">building or structure is underutilized and the use of another </w:t>
      </w:r>
      <w:r w:rsidR="00B323BB">
        <w:rPr>
          <w:color w:val="000000" w:themeColor="text1"/>
          <w:u w:val="single" w:color="000000" w:themeColor="text1"/>
        </w:rPr>
        <w:t xml:space="preserve">school </w:t>
      </w:r>
      <w:r>
        <w:rPr>
          <w:color w:val="000000" w:themeColor="text1"/>
          <w:u w:val="single" w:color="000000" w:themeColor="text1"/>
        </w:rPr>
        <w:t>building or structure is feasible</w:t>
      </w:r>
      <w:r w:rsidR="00EF70A9">
        <w:rPr>
          <w:color w:val="000000" w:themeColor="text1"/>
          <w:u w:color="000000" w:themeColor="text1"/>
        </w:rPr>
        <w:t>;</w:t>
      </w:r>
      <w:r>
        <w:rPr>
          <w:color w:val="000000" w:themeColor="text1"/>
          <w:u w:color="000000" w:themeColor="text1"/>
        </w:rPr>
        <w:t>”</w:t>
      </w:r>
    </w:p>
    <w:p w14:paraId="15C66D6C" w14:textId="7AEC73A3"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B0383" w14:textId="240A24F2"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 of Act 280 of 2018 is amended to read:</w:t>
      </w:r>
    </w:p>
    <w:p w14:paraId="5FC2914E" w14:textId="77777777"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64D3993" w14:textId="2303AFB3"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1B5C56">
        <w:rPr>
          <w:color w:val="000000" w:themeColor="text1"/>
          <w:u w:color="000000" w:themeColor="text1"/>
        </w:rPr>
        <w:t>SECTION</w:t>
      </w:r>
      <w:r w:rsidRPr="001B5C56">
        <w:rPr>
          <w:color w:val="000000" w:themeColor="text1"/>
          <w:u w:color="000000" w:themeColor="text1"/>
        </w:rPr>
        <w:tab/>
        <w:t>5.</w:t>
      </w:r>
      <w:r w:rsidRPr="001B5C56">
        <w:rPr>
          <w:color w:val="000000" w:themeColor="text1"/>
          <w:u w:color="000000" w:themeColor="text1"/>
        </w:rPr>
        <w:tab/>
        <w:t>(A)</w:t>
      </w:r>
      <w:r w:rsidRPr="001B5C56">
        <w:rPr>
          <w:color w:val="000000" w:themeColor="text1"/>
          <w:u w:color="000000" w:themeColor="text1"/>
        </w:rPr>
        <w:tab/>
        <w:t>The board of trustees of the school district, before July first of each year, shall prepare a school district budge</w:t>
      </w:r>
      <w:r>
        <w:rPr>
          <w:color w:val="000000" w:themeColor="text1"/>
          <w:u w:color="000000" w:themeColor="text1"/>
        </w:rPr>
        <w:t xml:space="preserve">t for the ensuing school year. </w:t>
      </w:r>
      <w:r w:rsidRPr="001B5C56">
        <w:rPr>
          <w:color w:val="000000" w:themeColor="text1"/>
          <w:u w:color="000000" w:themeColor="text1"/>
        </w:rPr>
        <w:t>Before September second of each year, the board shall notify the county auditor and treasurer in writing of the millage required for the operation of the schools in the distric</w:t>
      </w:r>
      <w:r>
        <w:rPr>
          <w:color w:val="000000" w:themeColor="text1"/>
          <w:u w:color="000000" w:themeColor="text1"/>
        </w:rPr>
        <w:t xml:space="preserve">t for the ensuing school year. </w:t>
      </w:r>
      <w:r w:rsidRPr="001B5C56">
        <w:rPr>
          <w:color w:val="000000" w:themeColor="text1"/>
          <w:u w:color="000000" w:themeColor="text1"/>
        </w:rPr>
        <w:t>The notice by the board constitutes authority for the levying and collection of the millage upon all of the real and personal property within the school dist</w:t>
      </w:r>
      <w:r>
        <w:rPr>
          <w:color w:val="000000" w:themeColor="text1"/>
          <w:u w:color="000000" w:themeColor="text1"/>
        </w:rPr>
        <w:t xml:space="preserve">rict. </w:t>
      </w:r>
      <w:r w:rsidRPr="001B5C56">
        <w:rPr>
          <w:color w:val="000000" w:themeColor="text1"/>
          <w:u w:color="000000" w:themeColor="text1"/>
        </w:rPr>
        <w:t xml:space="preserve">The levy must be placed to the credit of the district </w:t>
      </w:r>
      <w:r>
        <w:rPr>
          <w:color w:val="000000" w:themeColor="text1"/>
          <w:u w:color="000000" w:themeColor="text1"/>
        </w:rPr>
        <w:t xml:space="preserve">and expended for the district. </w:t>
      </w:r>
      <w:r w:rsidRPr="001B5C56">
        <w:rPr>
          <w:color w:val="000000" w:themeColor="text1"/>
          <w:u w:color="000000" w:themeColor="text1"/>
        </w:rPr>
        <w:t xml:space="preserve">Beginning </w:t>
      </w:r>
      <w:r w:rsidRPr="00C06DDD">
        <w:rPr>
          <w:strike/>
          <w:color w:val="000000" w:themeColor="text1"/>
          <w:u w:color="000000" w:themeColor="text1"/>
        </w:rPr>
        <w:t xml:space="preserve">in </w:t>
      </w:r>
      <w:r w:rsidRPr="00DF0279">
        <w:rPr>
          <w:strike/>
          <w:color w:val="000000" w:themeColor="text1"/>
          <w:u w:color="000000" w:themeColor="text1"/>
        </w:rPr>
        <w:t>2019</w:t>
      </w:r>
      <w:r>
        <w:rPr>
          <w:color w:val="000000" w:themeColor="text1"/>
          <w:u w:color="000000" w:themeColor="text1"/>
        </w:rPr>
        <w:t xml:space="preserve"> </w:t>
      </w:r>
      <w:r>
        <w:rPr>
          <w:color w:val="000000" w:themeColor="text1"/>
          <w:u w:val="single" w:color="000000" w:themeColor="text1"/>
        </w:rPr>
        <w:t>with fiscal year 2021</w:t>
      </w:r>
      <w:r w:rsidR="00975AB4">
        <w:rPr>
          <w:color w:val="000000" w:themeColor="text1"/>
          <w:u w:val="single" w:color="000000" w:themeColor="text1"/>
        </w:rPr>
        <w:t>-</w:t>
      </w:r>
      <w:r>
        <w:rPr>
          <w:color w:val="000000" w:themeColor="text1"/>
          <w:u w:val="single" w:color="000000" w:themeColor="text1"/>
        </w:rPr>
        <w:t>2022</w:t>
      </w:r>
      <w:r w:rsidRPr="001B5C56">
        <w:rPr>
          <w:color w:val="000000" w:themeColor="text1"/>
          <w:u w:color="000000" w:themeColor="text1"/>
        </w:rPr>
        <w:t xml:space="preserve">, the school district </w:t>
      </w:r>
      <w:r w:rsidRPr="0044768E">
        <w:rPr>
          <w:color w:val="000000" w:themeColor="text1"/>
          <w:u w:color="000000" w:themeColor="text1"/>
        </w:rPr>
        <w:t>may</w:t>
      </w:r>
      <w:r w:rsidRPr="001B5C56">
        <w:rPr>
          <w:color w:val="000000" w:themeColor="text1"/>
          <w:u w:color="000000" w:themeColor="text1"/>
        </w:rPr>
        <w:t xml:space="preserve"> raise its millage </w:t>
      </w:r>
      <w:r w:rsidRPr="00DF0279">
        <w:rPr>
          <w:strike/>
          <w:color w:val="000000" w:themeColor="text1"/>
          <w:u w:color="000000" w:themeColor="text1"/>
        </w:rPr>
        <w:t>by no more than two</w:t>
      </w:r>
      <w:r w:rsidRPr="001B5C56">
        <w:rPr>
          <w:color w:val="000000" w:themeColor="text1"/>
          <w:u w:color="000000" w:themeColor="text1"/>
        </w:rPr>
        <w:t xml:space="preserve"> </w:t>
      </w:r>
      <w:r>
        <w:rPr>
          <w:color w:val="000000" w:themeColor="text1"/>
          <w:u w:val="single" w:color="000000" w:themeColor="text1"/>
        </w:rPr>
        <w:t>to five</w:t>
      </w:r>
      <w:r>
        <w:rPr>
          <w:color w:val="000000" w:themeColor="text1"/>
          <w:u w:color="000000" w:themeColor="text1"/>
        </w:rPr>
        <w:t xml:space="preserve"> </w:t>
      </w:r>
      <w:r w:rsidRPr="001B5C56">
        <w:rPr>
          <w:color w:val="000000" w:themeColor="text1"/>
          <w:u w:color="000000" w:themeColor="text1"/>
        </w:rPr>
        <w:t>mills over that levied for the previous year, in addition to any millage needed to adjust for the EFA inflation factor and sufficient to meet the requ</w:t>
      </w:r>
      <w:r>
        <w:rPr>
          <w:color w:val="000000" w:themeColor="text1"/>
          <w:u w:color="000000" w:themeColor="text1"/>
        </w:rPr>
        <w:t>irements of Section 59</w:t>
      </w:r>
      <w:r>
        <w:rPr>
          <w:color w:val="000000" w:themeColor="text1"/>
          <w:u w:color="000000" w:themeColor="text1"/>
        </w:rPr>
        <w:noBreakHyphen/>
        <w:t>21</w:t>
      </w:r>
      <w:r>
        <w:rPr>
          <w:color w:val="000000" w:themeColor="text1"/>
          <w:u w:color="000000" w:themeColor="text1"/>
        </w:rPr>
        <w:noBreakHyphen/>
        <w:t>1030.</w:t>
      </w:r>
      <w:r w:rsidRPr="001B5C56">
        <w:rPr>
          <w:color w:val="000000" w:themeColor="text1"/>
          <w:u w:color="000000" w:themeColor="text1"/>
        </w:rPr>
        <w:t xml:space="preserve"> </w:t>
      </w:r>
      <w:r>
        <w:rPr>
          <w:color w:val="000000" w:themeColor="text1"/>
          <w:u w:val="single" w:color="000000" w:themeColor="text1"/>
        </w:rPr>
        <w:t>Beginning with fiscal year 2022</w:t>
      </w:r>
      <w:r w:rsidR="00975AB4">
        <w:rPr>
          <w:color w:val="000000" w:themeColor="text1"/>
          <w:u w:val="single" w:color="000000" w:themeColor="text1"/>
        </w:rPr>
        <w:t>-</w:t>
      </w:r>
      <w:r>
        <w:rPr>
          <w:color w:val="000000" w:themeColor="text1"/>
          <w:u w:val="single" w:color="000000" w:themeColor="text1"/>
        </w:rPr>
        <w:t>2023, the school district may raise its millage to three mills over that levied for fiscal year 2019</w:t>
      </w:r>
      <w:r w:rsidR="00975AB4">
        <w:rPr>
          <w:color w:val="000000" w:themeColor="text1"/>
          <w:u w:val="single" w:color="000000" w:themeColor="text1"/>
        </w:rPr>
        <w:t>-</w:t>
      </w:r>
      <w:r>
        <w:rPr>
          <w:color w:val="000000" w:themeColor="text1"/>
          <w:u w:val="single" w:color="000000" w:themeColor="text1"/>
        </w:rPr>
        <w:t>2020, in addition to the inflation factor as estimated by the EFA and meeting the requirements of Section 59-21-1030.</w:t>
      </w:r>
      <w:r>
        <w:rPr>
          <w:color w:val="000000" w:themeColor="text1"/>
          <w:u w:color="000000" w:themeColor="text1"/>
        </w:rPr>
        <w:t xml:space="preserve"> </w:t>
      </w:r>
      <w:r w:rsidRPr="001B5C56">
        <w:rPr>
          <w:color w:val="000000" w:themeColor="text1"/>
          <w:u w:color="000000" w:themeColor="text1"/>
        </w:rPr>
        <w:t xml:space="preserve">An increase above </w:t>
      </w:r>
      <w:r w:rsidRPr="00DF0279">
        <w:rPr>
          <w:strike/>
          <w:color w:val="000000" w:themeColor="text1"/>
          <w:u w:color="000000" w:themeColor="text1"/>
        </w:rPr>
        <w:t>this two</w:t>
      </w:r>
      <w:r>
        <w:rPr>
          <w:color w:val="000000" w:themeColor="text1"/>
          <w:u w:color="000000" w:themeColor="text1"/>
        </w:rPr>
        <w:t xml:space="preserve"> </w:t>
      </w:r>
      <w:r>
        <w:rPr>
          <w:color w:val="000000" w:themeColor="text1"/>
          <w:u w:val="single" w:color="000000" w:themeColor="text1"/>
        </w:rPr>
        <w:t>these</w:t>
      </w:r>
      <w:r w:rsidRPr="001B5C56">
        <w:rPr>
          <w:color w:val="000000" w:themeColor="text1"/>
          <w:u w:color="000000" w:themeColor="text1"/>
        </w:rPr>
        <w:t xml:space="preserve"> mills for operations may be levied only after a majority of the registered electors of the district vote in favor of the millage increase in a referendum called by the district school board and conducted by the county election commission.</w:t>
      </w:r>
    </w:p>
    <w:p w14:paraId="1BA686E2" w14:textId="77777777"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C56">
        <w:rPr>
          <w:color w:val="000000" w:themeColor="text1"/>
          <w:u w:color="000000" w:themeColor="text1"/>
        </w:rPr>
        <w:tab/>
        <w:t>(B)</w:t>
      </w:r>
      <w:r w:rsidRPr="001B5C56">
        <w:rPr>
          <w:color w:val="000000" w:themeColor="text1"/>
          <w:u w:color="000000" w:themeColor="text1"/>
        </w:rPr>
        <w:tab/>
        <w:t>The board shall hold a public hearing prior to its final approval o</w:t>
      </w:r>
      <w:r>
        <w:rPr>
          <w:color w:val="000000" w:themeColor="text1"/>
          <w:u w:color="000000" w:themeColor="text1"/>
        </w:rPr>
        <w:t xml:space="preserve">f the budget for the district. </w:t>
      </w:r>
      <w:r w:rsidRPr="001B5C56">
        <w:rPr>
          <w:color w:val="000000" w:themeColor="text1"/>
          <w:u w:color="000000" w:themeColor="text1"/>
        </w:rPr>
        <w:t xml:space="preserve">Notice of this public hearing </w:t>
      </w:r>
      <w:r w:rsidRPr="001B5C56">
        <w:rPr>
          <w:color w:val="000000" w:themeColor="text1"/>
          <w:u w:color="000000" w:themeColor="text1"/>
        </w:rPr>
        <w:lastRenderedPageBreak/>
        <w:t xml:space="preserve">must be placed in a newspaper of general circulation in the district at least fifteen days before the public hearing. </w:t>
      </w:r>
    </w:p>
    <w:p w14:paraId="5C1D2248" w14:textId="7BB5BBA5"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5C56">
        <w:rPr>
          <w:color w:val="000000" w:themeColor="text1"/>
          <w:u w:color="000000" w:themeColor="text1"/>
        </w:rPr>
        <w:tab/>
        <w:t>(C)</w:t>
      </w:r>
      <w:r w:rsidRPr="001B5C56">
        <w:rPr>
          <w:color w:val="000000" w:themeColor="text1"/>
          <w:u w:color="000000" w:themeColor="text1"/>
        </w:rPr>
        <w:tab/>
      </w:r>
      <w:r w:rsidRPr="00DF0279">
        <w:rPr>
          <w:strike/>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r>
        <w:rPr>
          <w:color w:val="000000" w:themeColor="text1"/>
          <w:u w:color="000000" w:themeColor="text1"/>
        </w:rPr>
        <w:t xml:space="preserve"> </w:t>
      </w:r>
      <w:r>
        <w:rPr>
          <w:color w:val="000000" w:themeColor="text1"/>
          <w:u w:val="single" w:color="000000" w:themeColor="text1"/>
        </w:rPr>
        <w:t>Beginning in fiscal year 2021</w:t>
      </w:r>
      <w:r w:rsidR="00975AB4">
        <w:rPr>
          <w:color w:val="000000" w:themeColor="text1"/>
          <w:u w:val="single" w:color="000000" w:themeColor="text1"/>
        </w:rPr>
        <w:t>-</w:t>
      </w:r>
      <w:r>
        <w:rPr>
          <w:color w:val="000000" w:themeColor="text1"/>
          <w:u w:val="single" w:color="000000" w:themeColor="text1"/>
        </w:rPr>
        <w:t>22, the operational millage levy for the district shall be two hundred nineteen mills</w:t>
      </w:r>
      <w:r w:rsidRPr="001B5C56">
        <w:rPr>
          <w:color w:val="000000" w:themeColor="text1"/>
          <w:u w:color="000000" w:themeColor="text1"/>
        </w:rPr>
        <w:t>.</w:t>
      </w:r>
      <w:r>
        <w:rPr>
          <w:rFonts w:eastAsia="Times New Roman"/>
          <w:snapToGrid w:val="0"/>
          <w:szCs w:val="20"/>
        </w:rPr>
        <w:t>”</w:t>
      </w:r>
    </w:p>
    <w:p w14:paraId="7B0A731B"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08AB1" w14:textId="4A1F2E8B" w:rsidR="00E23A32" w:rsidRPr="00522CE0"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7E08">
        <w:rPr>
          <w:rFonts w:eastAsia="Times New Roman"/>
        </w:rPr>
        <w:t>3</w:t>
      </w:r>
      <w:r>
        <w:rPr>
          <w:rFonts w:eastAsia="Times New Roman"/>
        </w:rPr>
        <w:t>.</w:t>
      </w:r>
      <w:r>
        <w:rPr>
          <w:rFonts w:eastAsia="Times New Roman"/>
        </w:rPr>
        <w:tab/>
        <w:t>This act takes effect upon approval by the Governor.</w:t>
      </w:r>
    </w:p>
    <w:p w14:paraId="34E760A9" w14:textId="4738A933" w:rsidR="00B47FFC" w:rsidRDefault="009E0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30130B" w14:textId="77777777" w:rsidR="004B5639" w:rsidRDefault="004B5639" w:rsidP="004B5639">
      <w:pPr>
        <w:suppressAutoHyphens/>
        <w:jc w:val="both"/>
        <w:rPr>
          <w:rFonts w:eastAsia="Times New Roman"/>
        </w:rPr>
      </w:pPr>
    </w:p>
    <w:sectPr w:rsidR="004B5639" w:rsidSect="00C721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2A09" w14:textId="77777777" w:rsidR="00EF70A9" w:rsidRDefault="00EF70A9" w:rsidP="00522CE0">
      <w:r>
        <w:separator/>
      </w:r>
    </w:p>
  </w:endnote>
  <w:endnote w:type="continuationSeparator" w:id="0">
    <w:p w14:paraId="621F85E0" w14:textId="77777777" w:rsidR="00EF70A9" w:rsidRDefault="00EF70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62CF9D-42BB-4CFB-A211-E3E13A6CE976}"/>
    <w:embedBold r:id="rId2" w:fontKey="{88A1FFED-5F65-47A0-B69F-796E5814BFCE}"/>
  </w:font>
  <w:font w:name="Calibri">
    <w:panose1 w:val="020F0502020204030204"/>
    <w:charset w:val="00"/>
    <w:family w:val="swiss"/>
    <w:pitch w:val="variable"/>
    <w:sig w:usb0="E0002EFF" w:usb1="C000247B" w:usb2="00000009" w:usb3="00000000" w:csb0="000001FF" w:csb1="00000000"/>
    <w:embedRegular r:id="rId3" w:fontKey="{240A773A-0C47-4793-AFA9-91F29C78E16E}"/>
    <w:embedBold r:id="rId4" w:fontKey="{97BF57C5-8B73-4354-81F1-886F784FEA5E}"/>
  </w:font>
  <w:font w:name="Segoe UI">
    <w:panose1 w:val="020B0502040204020203"/>
    <w:charset w:val="00"/>
    <w:family w:val="swiss"/>
    <w:pitch w:val="variable"/>
    <w:sig w:usb0="E4002EFF" w:usb1="C000E47F" w:usb2="00000009" w:usb3="00000000" w:csb0="000001FF" w:csb1="00000000"/>
    <w:embedRegular r:id="rId5" w:fontKey="{ADD22158-8250-42AD-B949-1EBB859CF3C0}"/>
  </w:font>
  <w:font w:name="Cambria">
    <w:panose1 w:val="02040503050406030204"/>
    <w:charset w:val="00"/>
    <w:family w:val="roman"/>
    <w:pitch w:val="variable"/>
    <w:sig w:usb0="E00006FF" w:usb1="420024FF" w:usb2="02000000" w:usb3="00000000" w:csb0="0000019F" w:csb1="00000000"/>
    <w:embedRegular r:id="rId6" w:fontKey="{F25EB301-3334-4709-A5FB-7EA3CA31D5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3CE" w14:textId="76DB5619" w:rsidR="00B47FFC" w:rsidRPr="004A2FA8" w:rsidRDefault="004A2FA8" w:rsidP="004A2FA8">
    <w:pPr>
      <w:pStyle w:val="Footer"/>
      <w:tabs>
        <w:tab w:val="clear" w:pos="4680"/>
        <w:tab w:val="clear" w:pos="9360"/>
        <w:tab w:val="center" w:pos="2995"/>
      </w:tabs>
      <w:spacing w:before="120"/>
    </w:pPr>
    <w:r>
      <w:t>[515</w:t>
    </w:r>
    <w:r w:rsidR="00C721B0">
      <w:t>-</w:t>
    </w:r>
    <w:r w:rsidR="00C721B0">
      <w:fldChar w:fldCharType="begin"/>
    </w:r>
    <w:r w:rsidR="00C721B0">
      <w:instrText xml:space="preserve"> PAGE  \* MERGEFORMAT </w:instrText>
    </w:r>
    <w:r w:rsidR="00C721B0">
      <w:fldChar w:fldCharType="separate"/>
    </w:r>
    <w:r w:rsidR="0047119E">
      <w:rPr>
        <w:noProof/>
      </w:rPr>
      <w:t>1</w:t>
    </w:r>
    <w:r w:rsidR="00C721B0">
      <w:fldChar w:fldCharType="end"/>
    </w:r>
    <w:r w:rsidR="00C72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6D181" w14:textId="7B71AEF7" w:rsidR="00C721B0" w:rsidRPr="004A2FA8" w:rsidRDefault="00C721B0" w:rsidP="004A2FA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4B56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ED707" w14:textId="77777777" w:rsidR="00EF70A9" w:rsidRDefault="00EF70A9" w:rsidP="00522CE0">
      <w:r>
        <w:separator/>
      </w:r>
    </w:p>
  </w:footnote>
  <w:footnote w:type="continuationSeparator" w:id="0">
    <w:p w14:paraId="119B4F46" w14:textId="77777777" w:rsidR="00EF70A9" w:rsidRDefault="00EF70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ORAN.SP.VS"/>
    <w:docVar w:name="CoverAttorneyInitials" w:val="SP"/>
    <w:docVar w:name="CoverAttorneyLastName" w:val="Parrish"/>
    <w:docVar w:name="CoverBillType" w:val="b"/>
    <w:docVar w:name="CoverSenator" w:val="VS"/>
    <w:docVar w:name="dvBillNumber" w:val="515"/>
    <w:docVar w:name="dvBillNumberPrefix" w:val="S. "/>
    <w:docVar w:name="dvOriginalBody" w:val="Senate"/>
    <w:docVar w:name="fulldraftpath" w:val="L:\S-RES\VS\002ORAN.SP.VS.DOCX"/>
    <w:docVar w:name="NameofBody" w:val="S"/>
    <w:docVar w:name="vgroup2" w:val="S-RES"/>
  </w:docVars>
  <w:rsids>
    <w:rsidRoot w:val="00E23A32"/>
    <w:rsid w:val="00003F00"/>
    <w:rsid w:val="00042AC1"/>
    <w:rsid w:val="00046516"/>
    <w:rsid w:val="00072458"/>
    <w:rsid w:val="0007601D"/>
    <w:rsid w:val="00081BAD"/>
    <w:rsid w:val="000B0720"/>
    <w:rsid w:val="000B3967"/>
    <w:rsid w:val="000B5EAF"/>
    <w:rsid w:val="001315B2"/>
    <w:rsid w:val="00170561"/>
    <w:rsid w:val="00174988"/>
    <w:rsid w:val="00186AC9"/>
    <w:rsid w:val="00197DF1"/>
    <w:rsid w:val="001B3DD9"/>
    <w:rsid w:val="001B7E5D"/>
    <w:rsid w:val="001D3BAC"/>
    <w:rsid w:val="00202EB9"/>
    <w:rsid w:val="00216025"/>
    <w:rsid w:val="0023166F"/>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119E"/>
    <w:rsid w:val="004813A2"/>
    <w:rsid w:val="004952FA"/>
    <w:rsid w:val="004A2FA8"/>
    <w:rsid w:val="004B5639"/>
    <w:rsid w:val="004B6A22"/>
    <w:rsid w:val="004D7F37"/>
    <w:rsid w:val="00522CE0"/>
    <w:rsid w:val="00541951"/>
    <w:rsid w:val="00565148"/>
    <w:rsid w:val="00570403"/>
    <w:rsid w:val="00577450"/>
    <w:rsid w:val="00593361"/>
    <w:rsid w:val="005A413B"/>
    <w:rsid w:val="005A5017"/>
    <w:rsid w:val="005A648C"/>
    <w:rsid w:val="005E0BFD"/>
    <w:rsid w:val="005F07AC"/>
    <w:rsid w:val="005F1745"/>
    <w:rsid w:val="00667E08"/>
    <w:rsid w:val="006A1802"/>
    <w:rsid w:val="006C0CBB"/>
    <w:rsid w:val="006C74EA"/>
    <w:rsid w:val="006F56CF"/>
    <w:rsid w:val="00720D40"/>
    <w:rsid w:val="007318D4"/>
    <w:rsid w:val="00751E9A"/>
    <w:rsid w:val="00765784"/>
    <w:rsid w:val="007A4390"/>
    <w:rsid w:val="007E5CB7"/>
    <w:rsid w:val="008314D2"/>
    <w:rsid w:val="00870F6F"/>
    <w:rsid w:val="008B2F42"/>
    <w:rsid w:val="008C3697"/>
    <w:rsid w:val="008E185F"/>
    <w:rsid w:val="008F023B"/>
    <w:rsid w:val="00904E16"/>
    <w:rsid w:val="009162B3"/>
    <w:rsid w:val="00927C62"/>
    <w:rsid w:val="00975AB4"/>
    <w:rsid w:val="00983951"/>
    <w:rsid w:val="00984124"/>
    <w:rsid w:val="00984640"/>
    <w:rsid w:val="00995C37"/>
    <w:rsid w:val="009C118A"/>
    <w:rsid w:val="009C42CF"/>
    <w:rsid w:val="009E0434"/>
    <w:rsid w:val="00A02011"/>
    <w:rsid w:val="00A21F35"/>
    <w:rsid w:val="00A4011E"/>
    <w:rsid w:val="00A86015"/>
    <w:rsid w:val="00A9594E"/>
    <w:rsid w:val="00AE59C8"/>
    <w:rsid w:val="00B10098"/>
    <w:rsid w:val="00B323BB"/>
    <w:rsid w:val="00B47FFC"/>
    <w:rsid w:val="00B5790D"/>
    <w:rsid w:val="00B945C5"/>
    <w:rsid w:val="00BA20EA"/>
    <w:rsid w:val="00BB5AFC"/>
    <w:rsid w:val="00BC026E"/>
    <w:rsid w:val="00BC0A56"/>
    <w:rsid w:val="00C1305F"/>
    <w:rsid w:val="00C45366"/>
    <w:rsid w:val="00C57023"/>
    <w:rsid w:val="00C721B0"/>
    <w:rsid w:val="00C74052"/>
    <w:rsid w:val="00CA07C6"/>
    <w:rsid w:val="00CB187A"/>
    <w:rsid w:val="00CC0EC7"/>
    <w:rsid w:val="00CC251A"/>
    <w:rsid w:val="00CF2C98"/>
    <w:rsid w:val="00D1088B"/>
    <w:rsid w:val="00D1286F"/>
    <w:rsid w:val="00D14DE6"/>
    <w:rsid w:val="00D156D2"/>
    <w:rsid w:val="00D35486"/>
    <w:rsid w:val="00D53E29"/>
    <w:rsid w:val="00D86943"/>
    <w:rsid w:val="00DA3C6B"/>
    <w:rsid w:val="00DA47B9"/>
    <w:rsid w:val="00DD237D"/>
    <w:rsid w:val="00DE5635"/>
    <w:rsid w:val="00E058D3"/>
    <w:rsid w:val="00E12CA0"/>
    <w:rsid w:val="00E2236D"/>
    <w:rsid w:val="00E23A32"/>
    <w:rsid w:val="00E30EE0"/>
    <w:rsid w:val="00E76AD9"/>
    <w:rsid w:val="00E86EE2"/>
    <w:rsid w:val="00E91E2F"/>
    <w:rsid w:val="00EA3546"/>
    <w:rsid w:val="00EB47AE"/>
    <w:rsid w:val="00EC34E1"/>
    <w:rsid w:val="00EF70A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A3B6F35"/>
  <w15:docId w15:val="{D013C3C5-7673-45C5-97F3-E4DFF0A5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AD"/>
    <w:rPr>
      <w:rFonts w:ascii="Segoe UI" w:hAnsi="Segoe UI" w:cs="Segoe UI"/>
      <w:sz w:val="18"/>
      <w:szCs w:val="18"/>
    </w:rPr>
  </w:style>
  <w:style w:type="character" w:styleId="CommentReference">
    <w:name w:val="annotation reference"/>
    <w:basedOn w:val="DefaultParagraphFont"/>
    <w:uiPriority w:val="99"/>
    <w:semiHidden/>
    <w:unhideWhenUsed/>
    <w:rsid w:val="00751E9A"/>
    <w:rPr>
      <w:sz w:val="16"/>
      <w:szCs w:val="16"/>
    </w:rPr>
  </w:style>
  <w:style w:type="paragraph" w:styleId="CommentText">
    <w:name w:val="annotation text"/>
    <w:basedOn w:val="Normal"/>
    <w:link w:val="CommentTextChar"/>
    <w:uiPriority w:val="99"/>
    <w:semiHidden/>
    <w:unhideWhenUsed/>
    <w:rsid w:val="00751E9A"/>
    <w:rPr>
      <w:sz w:val="20"/>
      <w:szCs w:val="20"/>
    </w:rPr>
  </w:style>
  <w:style w:type="character" w:customStyle="1" w:styleId="CommentTextChar">
    <w:name w:val="Comment Text Char"/>
    <w:basedOn w:val="DefaultParagraphFont"/>
    <w:link w:val="CommentText"/>
    <w:uiPriority w:val="99"/>
    <w:semiHidden/>
    <w:rsid w:val="00751E9A"/>
    <w:rPr>
      <w:sz w:val="20"/>
      <w:szCs w:val="20"/>
    </w:rPr>
  </w:style>
  <w:style w:type="paragraph" w:styleId="CommentSubject">
    <w:name w:val="annotation subject"/>
    <w:basedOn w:val="CommentText"/>
    <w:next w:val="CommentText"/>
    <w:link w:val="CommentSubjectChar"/>
    <w:uiPriority w:val="99"/>
    <w:semiHidden/>
    <w:unhideWhenUsed/>
    <w:rsid w:val="00751E9A"/>
    <w:rPr>
      <w:b/>
      <w:bCs/>
    </w:rPr>
  </w:style>
  <w:style w:type="character" w:customStyle="1" w:styleId="CommentSubjectChar">
    <w:name w:val="Comment Subject Char"/>
    <w:basedOn w:val="CommentTextChar"/>
    <w:link w:val="CommentSubject"/>
    <w:uiPriority w:val="99"/>
    <w:semiHidden/>
    <w:rsid w:val="00751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5C4E3DDD.dotm</Template>
  <TotalTime>0</TotalTime>
  <Pages>4</Pages>
  <Words>890</Words>
  <Characters>4420</Characters>
  <Application>Microsoft Office Word</Application>
  <DocSecurity>0</DocSecurity>
  <Lines>125</Lines>
  <Paragraphs>28</Paragraphs>
  <ScaleCrop>false</ScaleCrop>
  <HeadingPairs>
    <vt:vector size="2" baseType="variant">
      <vt:variant>
        <vt:lpstr>Title</vt:lpstr>
      </vt:variant>
      <vt:variant>
        <vt:i4>1</vt:i4>
      </vt:variant>
    </vt:vector>
  </HeadingPairs>
  <TitlesOfParts>
    <vt:vector size="1" baseType="lpstr">
      <vt:lpstr>2021-2022 Bill 515 Text of Previous Version (Feb. 3, 2021) - South Carolina Legislature Online</vt:lpstr>
    </vt:vector>
  </TitlesOfParts>
  <Company>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 Text of Previous Version (Apr. 6, 2021) - South Carolina Legislature Online</dc:title>
  <dc:subject/>
  <dc:creator>Sara Parrish</dc:creator>
  <cp:keywords/>
  <dc:description/>
  <cp:lastModifiedBy>Miriam Cook</cp:lastModifiedBy>
  <cp:revision>2</cp:revision>
  <cp:lastPrinted>2021-04-07T01:07:00Z</cp:lastPrinted>
  <dcterms:created xsi:type="dcterms:W3CDTF">2021-04-07T01:12:00Z</dcterms:created>
  <dcterms:modified xsi:type="dcterms:W3CDTF">2021-04-07T01:12:00Z</dcterms:modified>
</cp:coreProperties>
</file>