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2BFC5" w14:textId="0045FD9D" w:rsidR="00C721B0"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81F1979" w14:textId="2AE1525D" w:rsidR="00CA7BDA" w:rsidRP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8F9A3D4" w14:textId="60FDC6B2"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C7987" w14:textId="639CEA8C"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77B8078" w14:textId="09C7EECF"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14:paraId="75674E85" w14:textId="2B925EF5"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197AD" w14:textId="127F21B4" w:rsidR="00CA7BDA" w:rsidRPr="00CA7BDA" w:rsidRDefault="00CA7BDA" w:rsidP="00CA7BDA">
      <w:pPr>
        <w:tabs>
          <w:tab w:val="right" w:pos="5933"/>
        </w:tabs>
        <w:suppressAutoHyphens/>
        <w:jc w:val="both"/>
        <w:rPr>
          <w:rFonts w:eastAsia="Times New Roman"/>
        </w:rPr>
      </w:pPr>
      <w:r>
        <w:rPr>
          <w:rFonts w:eastAsia="Times New Roman"/>
        </w:rPr>
        <w:tab/>
      </w:r>
      <w:r>
        <w:rPr>
          <w:rFonts w:eastAsia="Times New Roman"/>
          <w:b/>
          <w:sz w:val="36"/>
        </w:rPr>
        <w:t>S. 515</w:t>
      </w:r>
    </w:p>
    <w:p w14:paraId="439D50C4" w14:textId="71C7E772"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6F24F" w14:textId="00078C3F"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0327FFE8" w14:textId="3081F58F"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64665" w14:textId="22A78EBB"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4/7/21--H.</w:t>
      </w:r>
    </w:p>
    <w:p w14:paraId="111B5661" w14:textId="78F8FE5C"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2021.</w:t>
      </w:r>
    </w:p>
    <w:p w14:paraId="2431368D" w14:textId="53A02F94"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2244D31" w14:textId="0523BD76"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80E0A" w14:textId="77777777"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DA"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812C0" w14:textId="0E7C15F5" w:rsidR="00522CE0"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Start w:id="4" w:name="titleend"/>
      <w:bookmarkEnd w:id="4"/>
      <w:bookmarkEnd w:id="1"/>
    </w:p>
    <w:p w14:paraId="32419C8A" w14:textId="10228288" w:rsidR="00667E08"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14:paraId="78F3A615" w14:textId="77777777" w:rsidR="00CA7BDA" w:rsidRDefault="00CA7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267E64BD"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8BDCB" w14:textId="77777777"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A7BDA">
        <w:rPr>
          <w:rFonts w:eastAsia="Times New Roman"/>
        </w:rPr>
        <w:t>SECTION</w:t>
      </w:r>
      <w:r w:rsidRPr="00CA7BDA">
        <w:rPr>
          <w:rFonts w:eastAsia="Times New Roman"/>
        </w:rPr>
        <w:tab/>
        <w:t>1.</w:t>
      </w:r>
      <w:r w:rsidRPr="00CA7BDA">
        <w:rPr>
          <w:rFonts w:eastAsia="Times New Roman"/>
        </w:rPr>
        <w:tab/>
        <w:t>SECTION 3(</w:t>
      </w:r>
      <w:bookmarkStart w:id="5" w:name="temp"/>
      <w:bookmarkEnd w:id="5"/>
      <w:r w:rsidRPr="00CA7BDA">
        <w:rPr>
          <w:rFonts w:eastAsia="Times New Roman"/>
        </w:rPr>
        <w:t>B)(5) of Act 280 of 2018 is amended to read:</w:t>
      </w:r>
    </w:p>
    <w:p w14:paraId="261400A3" w14:textId="77777777"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75EF09" w14:textId="721EE3BF"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CA7BDA">
        <w:rPr>
          <w:rFonts w:eastAsia="Times New Roman"/>
        </w:rPr>
        <w:tab/>
      </w:r>
      <w:r w:rsidRPr="00CA7BDA">
        <w:rPr>
          <w:rFonts w:eastAsia="Calibri"/>
          <w:u w:color="000000"/>
        </w:rPr>
        <w:t>“(5)</w:t>
      </w:r>
      <w:r w:rsidRPr="00CA7BDA">
        <w:rPr>
          <w:rFonts w:eastAsia="Calibri"/>
          <w:u w:color="000000"/>
        </w:rPr>
        <w:tab/>
        <w:t>adopt attendance zones of schools within the school district except that, through school year 2021</w:t>
      </w:r>
      <w:r w:rsidRPr="00CA7BDA">
        <w:rPr>
          <w:rFonts w:eastAsia="Calibri"/>
          <w:u w:color="000000"/>
        </w:rPr>
        <w:noBreakHyphen/>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w:t>
      </w:r>
      <w:r w:rsidRPr="00CA7BDA">
        <w:rPr>
          <w:rFonts w:eastAsia="Calibri"/>
          <w:u w:color="000000"/>
        </w:rPr>
        <w:lastRenderedPageBreak/>
        <w:t xml:space="preserve">the students of that school moved to a school in another attendance area, the qualified electors within the attendance area where the school is to be closed also first must approve the closing by referendum. </w:t>
      </w:r>
      <w:r w:rsidRPr="00CA7BDA">
        <w:rPr>
          <w:rFonts w:eastAsia="Calibri"/>
          <w:strike/>
          <w:u w:color="000000"/>
        </w:rPr>
        <w:t>This referendum may not be held at the same time as a school bond referendum.</w:t>
      </w:r>
      <w:r w:rsidRPr="00CA7BDA">
        <w:rPr>
          <w:rFonts w:eastAsia="Calibri"/>
          <w:u w:color="000000"/>
        </w:rPr>
        <w:t xml:space="preserve">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sidRPr="00CA7BDA">
        <w:rPr>
          <w:rFonts w:eastAsia="Calibri"/>
          <w:u w:val="single" w:color="000000"/>
        </w:rPr>
        <w:t>. The provisions of this item do not apply if the board determines that:</w:t>
      </w:r>
    </w:p>
    <w:p w14:paraId="62600163" w14:textId="77777777"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CA7BDA">
        <w:rPr>
          <w:rFonts w:eastAsia="Calibri"/>
          <w:u w:color="000000"/>
        </w:rPr>
        <w:tab/>
      </w:r>
      <w:r w:rsidRPr="00CA7BDA">
        <w:rPr>
          <w:rFonts w:eastAsia="Calibri"/>
          <w:u w:color="000000"/>
        </w:rPr>
        <w:tab/>
      </w:r>
      <w:r w:rsidRPr="00CA7BDA">
        <w:rPr>
          <w:rFonts w:eastAsia="Calibri"/>
          <w:u w:val="single" w:color="000000"/>
        </w:rPr>
        <w:t>(a)</w:t>
      </w:r>
      <w:r w:rsidRPr="00CA7BDA">
        <w:rPr>
          <w:rFonts w:eastAsia="Calibri"/>
          <w:u w:color="000000"/>
        </w:rPr>
        <w:tab/>
      </w:r>
      <w:r w:rsidRPr="00CA7BDA">
        <w:rPr>
          <w:rFonts w:eastAsia="Calibri"/>
          <w:u w:val="single" w:color="000000"/>
        </w:rPr>
        <w:t>a school building or structure is an imminent threat to the health or safety of students or staff; or</w:t>
      </w:r>
    </w:p>
    <w:p w14:paraId="182219FE" w14:textId="77777777"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A7BDA">
        <w:rPr>
          <w:rFonts w:eastAsia="Calibri"/>
          <w:u w:color="000000"/>
        </w:rPr>
        <w:tab/>
      </w:r>
      <w:r w:rsidRPr="00CA7BDA">
        <w:rPr>
          <w:rFonts w:eastAsia="Calibri"/>
          <w:u w:color="000000"/>
        </w:rPr>
        <w:tab/>
      </w:r>
      <w:r w:rsidRPr="00CA7BDA">
        <w:rPr>
          <w:rFonts w:eastAsia="Calibri"/>
          <w:u w:val="single" w:color="000000"/>
        </w:rPr>
        <w:t>(b)</w:t>
      </w:r>
      <w:r w:rsidRPr="00CA7BDA">
        <w:rPr>
          <w:rFonts w:eastAsia="Calibri"/>
          <w:u w:color="000000"/>
        </w:rPr>
        <w:tab/>
      </w:r>
      <w:r w:rsidRPr="00CA7BDA">
        <w:rPr>
          <w:rFonts w:eastAsia="Calibri"/>
          <w:u w:val="single" w:color="000000"/>
        </w:rPr>
        <w:t>the needed upgrades and repairs to maintain a school building or structure are economically unfeasible</w:t>
      </w:r>
      <w:r w:rsidRPr="00CA7BDA">
        <w:rPr>
          <w:rFonts w:eastAsia="Calibri"/>
          <w:u w:color="000000"/>
        </w:rPr>
        <w:t>;”</w:t>
      </w:r>
    </w:p>
    <w:p w14:paraId="5208F5AB" w14:textId="77777777"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F4BF5BE" w14:textId="1D4DF050"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A7BDA">
        <w:rPr>
          <w:rFonts w:eastAsia="Times New Roman"/>
          <w:snapToGrid w:val="0"/>
          <w:szCs w:val="20"/>
        </w:rPr>
        <w:t>SECTION</w:t>
      </w:r>
      <w:r w:rsidRPr="00CA7BDA">
        <w:rPr>
          <w:rFonts w:eastAsia="Times New Roman"/>
          <w:snapToGrid w:val="0"/>
          <w:szCs w:val="20"/>
        </w:rPr>
        <w:tab/>
        <w:t>2.</w:t>
      </w:r>
      <w:r w:rsidRPr="00CA7BDA">
        <w:rPr>
          <w:rFonts w:eastAsia="Times New Roman"/>
          <w:snapToGrid w:val="0"/>
          <w:szCs w:val="20"/>
        </w:rPr>
        <w:tab/>
        <w:t>SECTION 5 of Act 280 of 2018 is amended to read:</w:t>
      </w:r>
    </w:p>
    <w:p w14:paraId="661DE76D" w14:textId="77777777"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01F7D5F" w14:textId="37C39AFF"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A7BDA">
        <w:rPr>
          <w:rFonts w:eastAsia="Times New Roman"/>
          <w:snapToGrid w:val="0"/>
          <w:szCs w:val="20"/>
        </w:rPr>
        <w:tab/>
        <w:t>“</w:t>
      </w:r>
      <w:r w:rsidRPr="00CA7BDA">
        <w:rPr>
          <w:rFonts w:eastAsia="Calibri"/>
          <w:u w:color="000000"/>
        </w:rPr>
        <w:t>SECTION</w:t>
      </w:r>
      <w:r w:rsidRPr="00CA7BDA">
        <w:rPr>
          <w:rFonts w:eastAsia="Calibri"/>
          <w:u w:color="000000"/>
        </w:rPr>
        <w:tab/>
        <w:t>5.</w:t>
      </w:r>
      <w:r w:rsidRPr="00CA7BDA">
        <w:rPr>
          <w:rFonts w:eastAsia="Calibri"/>
          <w:u w:color="000000"/>
        </w:rPr>
        <w:tab/>
        <w:t>(A)</w:t>
      </w:r>
      <w:r w:rsidRPr="00CA7BDA">
        <w:rPr>
          <w:rFonts w:eastAsia="Calibri"/>
          <w:u w:color="000000"/>
        </w:rPr>
        <w:tab/>
        <w:t xml:space="preserve">The board of trustees of the school district, before July first of each year, shall prepare a school district budget for the ensuing school year. Before September second of each 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w:t>
      </w:r>
      <w:r w:rsidRPr="00CA7BDA">
        <w:rPr>
          <w:rFonts w:eastAsia="Calibri"/>
          <w:strike/>
          <w:u w:color="000000"/>
        </w:rPr>
        <w:t>Beginning in 2019, the school district may raise its millage by no more than two mills over that levied for the previous year, in addition to any millage needed to adjust for the EFA inflation factor and sufficient to meet the requirements of Section 59</w:t>
      </w:r>
      <w:r w:rsidRPr="00CA7BDA">
        <w:rPr>
          <w:rFonts w:eastAsia="Calibri"/>
          <w:strike/>
          <w:u w:color="000000"/>
        </w:rPr>
        <w:noBreakHyphen/>
        <w:t>21</w:t>
      </w:r>
      <w:r w:rsidRPr="00CA7BDA">
        <w:rPr>
          <w:rFonts w:eastAsia="Calibri"/>
          <w:strike/>
          <w:u w:color="000000"/>
        </w:rPr>
        <w:noBreakHyphen/>
        <w:t>1030.</w:t>
      </w:r>
      <w:r w:rsidRPr="00CA7BDA">
        <w:rPr>
          <w:rFonts w:eastAsia="Calibri"/>
          <w:u w:color="000000"/>
        </w:rPr>
        <w:t xml:space="preserve"> </w:t>
      </w:r>
      <w:r w:rsidRPr="00CA7BDA">
        <w:rPr>
          <w:rFonts w:eastAsia="Calibri"/>
          <w:u w:val="single" w:color="000000"/>
        </w:rPr>
        <w:t>Beginning with fiscal year 2022-2023, the school district may raise its millage to two mills over that levied for fiscal year 2021-2022, in addition to the inflation factor as estimated by the EFA and meeting the requirements of Section 59-21-1030.</w:t>
      </w:r>
      <w:r w:rsidRPr="00CA7BDA">
        <w:rPr>
          <w:rFonts w:eastAsia="Calibri"/>
          <w:u w:color="000000"/>
        </w:rPr>
        <w:t xml:space="preserve"> An increase above </w:t>
      </w:r>
      <w:r w:rsidRPr="00CA7BDA">
        <w:rPr>
          <w:rFonts w:eastAsia="Calibri"/>
          <w:strike/>
          <w:u w:color="000000"/>
        </w:rPr>
        <w:t>this two</w:t>
      </w:r>
      <w:r w:rsidRPr="00CA7BDA">
        <w:rPr>
          <w:rFonts w:eastAsia="Calibri"/>
          <w:u w:color="000000"/>
        </w:rPr>
        <w:t xml:space="preserve"> </w:t>
      </w:r>
      <w:r w:rsidRPr="00CA7BDA">
        <w:rPr>
          <w:rFonts w:eastAsia="Calibri"/>
          <w:u w:val="single" w:color="000000"/>
        </w:rPr>
        <w:t>these</w:t>
      </w:r>
      <w:r w:rsidRPr="00CA7BDA">
        <w:rPr>
          <w:rFonts w:eastAsia="Calibri"/>
          <w:u w:color="000000"/>
        </w:rPr>
        <w:t xml:space="preserve"> mills for operations may be levied only after a majority of the registered electors of the district vote in favor of the millage increase in a referendum called by the district school board and conducted by the county election commission.</w:t>
      </w:r>
    </w:p>
    <w:p w14:paraId="63198F62" w14:textId="77777777"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A7BDA">
        <w:rPr>
          <w:rFonts w:eastAsia="Calibri"/>
          <w:u w:color="000000"/>
        </w:rPr>
        <w:tab/>
        <w:t>(B)</w:t>
      </w:r>
      <w:r w:rsidRPr="00CA7BDA">
        <w:rPr>
          <w:rFonts w:eastAsia="Calibri"/>
          <w:u w:color="000000"/>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14:paraId="669E95B0" w14:textId="77777777" w:rsidR="00CA7BDA" w:rsidRP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A7BDA">
        <w:rPr>
          <w:rFonts w:eastAsia="Calibri"/>
          <w:u w:color="000000"/>
        </w:rPr>
        <w:lastRenderedPageBreak/>
        <w:tab/>
        <w:t>(C)</w:t>
      </w:r>
      <w:r w:rsidRPr="00CA7BDA">
        <w:rPr>
          <w:rFonts w:eastAsia="Calibri"/>
          <w:u w:color="000000"/>
        </w:rPr>
        <w:tab/>
      </w:r>
      <w:r w:rsidRPr="00CA7BDA">
        <w:rPr>
          <w:rFonts w:eastAsia="Calibri"/>
          <w:strike/>
          <w:u w:color="000000"/>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r w:rsidRPr="00CA7BDA">
        <w:rPr>
          <w:rFonts w:eastAsia="Calibri"/>
          <w:u w:color="000000"/>
        </w:rPr>
        <w:t xml:space="preserve"> </w:t>
      </w:r>
      <w:r w:rsidRPr="00CA7BDA">
        <w:rPr>
          <w:rFonts w:eastAsia="Calibri"/>
          <w:u w:val="single" w:color="000000"/>
        </w:rPr>
        <w:t>Beginning in fiscal year 2021-22, the operational millage levy for the district shall be two hundred nineteen mills</w:t>
      </w:r>
      <w:r w:rsidRPr="00CA7BDA">
        <w:rPr>
          <w:rFonts w:eastAsia="Calibri"/>
          <w:u w:color="000000"/>
        </w:rPr>
        <w:t>.</w:t>
      </w:r>
      <w:r w:rsidRPr="00CA7BDA">
        <w:rPr>
          <w:rFonts w:eastAsia="Times New Roman"/>
          <w:snapToGrid w:val="0"/>
          <w:szCs w:val="20"/>
        </w:rPr>
        <w:t>”</w:t>
      </w:r>
    </w:p>
    <w:p w14:paraId="4560BF31" w14:textId="77777777"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B67C6" w14:textId="55B96B93" w:rsidR="00CA7BDA" w:rsidRDefault="00CA7BDA" w:rsidP="00CA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7BDA">
        <w:rPr>
          <w:rFonts w:eastAsia="Times New Roman"/>
        </w:rPr>
        <w:t>SECTION</w:t>
      </w:r>
      <w:r w:rsidRPr="00CA7BDA">
        <w:rPr>
          <w:rFonts w:eastAsia="Times New Roman"/>
        </w:rPr>
        <w:tab/>
        <w:t>3.</w:t>
      </w:r>
      <w:r w:rsidRPr="00CA7BDA">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8D0863" w14:textId="77777777" w:rsidR="00A53084" w:rsidRDefault="00A53084" w:rsidP="00A53084">
      <w:pPr>
        <w:suppressAutoHyphens/>
        <w:jc w:val="both"/>
        <w:rPr>
          <w:rFonts w:eastAsia="Times New Roman"/>
        </w:rPr>
      </w:pPr>
    </w:p>
    <w:sectPr w:rsidR="00A53084"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B189FE-B569-40A3-AD94-CE443253F028}"/>
    <w:embedBold r:id="rId2" w:fontKey="{0B607022-791D-41C6-BE2F-FD4D83CE8C4B}"/>
  </w:font>
  <w:font w:name="Calibri">
    <w:panose1 w:val="020F0502020204030204"/>
    <w:charset w:val="00"/>
    <w:family w:val="swiss"/>
    <w:pitch w:val="variable"/>
    <w:sig w:usb0="E0002EFF" w:usb1="C000247B" w:usb2="00000009" w:usb3="00000000" w:csb0="000001FF" w:csb1="00000000"/>
    <w:embedRegular r:id="rId3" w:fontKey="{E6058A0B-8E63-42E5-9A77-3C529D64DF55}"/>
    <w:embedBold r:id="rId4" w:fontKey="{B7CF4544-C5B2-481B-8E7F-DDEA8F801501}"/>
  </w:font>
  <w:font w:name="Segoe UI">
    <w:panose1 w:val="020B0502040204020203"/>
    <w:charset w:val="00"/>
    <w:family w:val="swiss"/>
    <w:pitch w:val="variable"/>
    <w:sig w:usb0="E4002EFF" w:usb1="C000E47F" w:usb2="00000009" w:usb3="00000000" w:csb0="000001FF" w:csb1="00000000"/>
    <w:embedRegular r:id="rId5" w:fontKey="{99C2BBDC-2771-47A0-B875-49BC8392E756}"/>
  </w:font>
  <w:font w:name="Cambria">
    <w:panose1 w:val="02040503050406030204"/>
    <w:charset w:val="00"/>
    <w:family w:val="roman"/>
    <w:pitch w:val="variable"/>
    <w:sig w:usb0="E00006FF" w:usb1="420024FF" w:usb2="02000000" w:usb3="00000000" w:csb0="0000019F" w:csb1="00000000"/>
    <w:embedRegular r:id="rId6" w:fontKey="{0055975D-D757-4CBD-81F4-71564B67F5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1A9B9EF0"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A53084">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4870735D"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A530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56839"/>
    <w:rsid w:val="0026381F"/>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119E"/>
    <w:rsid w:val="004813A2"/>
    <w:rsid w:val="004952FA"/>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67E08"/>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75AB4"/>
    <w:rsid w:val="00983951"/>
    <w:rsid w:val="00984124"/>
    <w:rsid w:val="00984640"/>
    <w:rsid w:val="00995C37"/>
    <w:rsid w:val="009C118A"/>
    <w:rsid w:val="009C42CF"/>
    <w:rsid w:val="009E0434"/>
    <w:rsid w:val="00A02011"/>
    <w:rsid w:val="00A21F35"/>
    <w:rsid w:val="00A4011E"/>
    <w:rsid w:val="00A53084"/>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74F25"/>
    <w:rsid w:val="00CA07C6"/>
    <w:rsid w:val="00CA7BDA"/>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30EE0"/>
    <w:rsid w:val="00E76AD9"/>
    <w:rsid w:val="00E86EE2"/>
    <w:rsid w:val="00E91E2F"/>
    <w:rsid w:val="00EA3546"/>
    <w:rsid w:val="00EB47AE"/>
    <w:rsid w:val="00EC34E1"/>
    <w:rsid w:val="00EE714A"/>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3967</Characters>
  <Application>Microsoft Office Word</Application>
  <DocSecurity>0</DocSecurity>
  <Lines>110</Lines>
  <Paragraphs>22</Paragraphs>
  <ScaleCrop>false</ScaleCrop>
  <HeadingPairs>
    <vt:vector size="2" baseType="variant">
      <vt:variant>
        <vt:lpstr>Title</vt:lpstr>
      </vt:variant>
      <vt:variant>
        <vt:i4>1</vt:i4>
      </vt:variant>
    </vt:vector>
  </HeadingPairs>
  <TitlesOfParts>
    <vt:vector size="1" baseType="lpstr">
      <vt:lpstr>2021-2022 Bill 515 Text of Previous Version (Feb. 3, 2021) - South Carolina Legislature Online</vt:lpstr>
    </vt:vector>
  </TitlesOfParts>
  <Company>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(Apr. 7, 2021) - South Carolina Legislature Online</dc:title>
  <dc:subject/>
  <dc:creator>Sara Parrish</dc:creator>
  <cp:keywords/>
  <dc:description/>
  <cp:lastModifiedBy>Danny Crook</cp:lastModifiedBy>
  <cp:revision>2</cp:revision>
  <cp:lastPrinted>2021-04-07T01:07:00Z</cp:lastPrinted>
  <dcterms:created xsi:type="dcterms:W3CDTF">2021-04-07T23:00:00Z</dcterms:created>
  <dcterms:modified xsi:type="dcterms:W3CDTF">2021-04-07T23:00:00Z</dcterms:modified>
</cp:coreProperties>
</file>