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91129" w:rsidRDefault="00E91129"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0CD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B191D">
        <w:rPr>
          <w:color w:val="000000" w:themeColor="text1"/>
          <w:u w:color="000000" w:themeColor="text1"/>
        </w:rPr>
        <w:t>TO AMEND THE CODE OF LAWS OF SOUTH CAROLINA, 1976</w:t>
      </w:r>
      <w:r>
        <w:rPr>
          <w:color w:val="000000" w:themeColor="text1"/>
          <w:u w:color="000000" w:themeColor="text1"/>
        </w:rPr>
        <w:t>,</w:t>
      </w:r>
      <w:r w:rsidRPr="002B191D">
        <w:rPr>
          <w:color w:val="000000" w:themeColor="text1"/>
          <w:u w:color="000000" w:themeColor="text1"/>
        </w:rPr>
        <w:t xml:space="preserve"> BY ADDING SECTION 27</w:t>
      </w:r>
      <w:r w:rsidR="00E00EEF">
        <w:rPr>
          <w:color w:val="000000" w:themeColor="text1"/>
          <w:u w:color="000000" w:themeColor="text1"/>
        </w:rPr>
        <w:noBreakHyphen/>
      </w:r>
      <w:r w:rsidRPr="002B191D">
        <w:rPr>
          <w:color w:val="000000" w:themeColor="text1"/>
          <w:u w:color="000000" w:themeColor="text1"/>
        </w:rPr>
        <w:t>39</w:t>
      </w:r>
      <w:r w:rsidR="00E00EEF">
        <w:rPr>
          <w:color w:val="000000" w:themeColor="text1"/>
          <w:u w:color="000000" w:themeColor="text1"/>
        </w:rPr>
        <w:noBreakHyphen/>
      </w:r>
      <w:r w:rsidR="0013455B">
        <w:rPr>
          <w:color w:val="000000" w:themeColor="text1"/>
          <w:u w:color="000000" w:themeColor="text1"/>
        </w:rPr>
        <w:t>37</w:t>
      </w:r>
      <w:r w:rsidRPr="002B191D">
        <w:rPr>
          <w:color w:val="000000" w:themeColor="text1"/>
          <w:u w:color="000000" w:themeColor="text1"/>
        </w:rPr>
        <w:t>0 SO AS TO PROVIDE RESTRICTIONS ON RAISING RESIDENTIAL RENT.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20CD7" w:rsidRDefault="00D20C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0CD7" w:rsidRDefault="00D20C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C71"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191D">
        <w:rPr>
          <w:color w:val="000000" w:themeColor="text1"/>
          <w:u w:color="000000" w:themeColor="text1"/>
        </w:rPr>
        <w:t>SECTION</w:t>
      </w:r>
      <w:r>
        <w:rPr>
          <w:color w:val="000000" w:themeColor="text1"/>
          <w:u w:color="000000" w:themeColor="text1"/>
        </w:rPr>
        <w:tab/>
      </w:r>
      <w:r w:rsidRPr="002B191D">
        <w:rPr>
          <w:color w:val="000000" w:themeColor="text1"/>
          <w:u w:color="000000" w:themeColor="text1"/>
        </w:rPr>
        <w:t>1.</w:t>
      </w:r>
      <w:r>
        <w:rPr>
          <w:color w:val="000000" w:themeColor="text1"/>
          <w:u w:color="000000" w:themeColor="text1"/>
        </w:rPr>
        <w:tab/>
      </w:r>
      <w:r w:rsidRPr="002B191D">
        <w:rPr>
          <w:color w:val="000000" w:themeColor="text1"/>
          <w:u w:color="000000" w:themeColor="text1"/>
        </w:rPr>
        <w:t xml:space="preserve">This act must be known and may be cited as the </w:t>
      </w:r>
      <w:r>
        <w:rPr>
          <w:color w:val="000000" w:themeColor="text1"/>
          <w:u w:color="000000" w:themeColor="text1"/>
        </w:rPr>
        <w:t>“</w:t>
      </w:r>
      <w:r w:rsidRPr="002B191D">
        <w:rPr>
          <w:color w:val="000000" w:themeColor="text1"/>
          <w:u w:color="000000" w:themeColor="text1"/>
        </w:rPr>
        <w:t>South Carolina Rent Control Act</w:t>
      </w:r>
      <w:r>
        <w:rPr>
          <w:color w:val="000000" w:themeColor="text1"/>
          <w:u w:color="000000" w:themeColor="text1"/>
        </w:rPr>
        <w:t>”</w:t>
      </w:r>
      <w:r w:rsidRPr="002B191D">
        <w:rPr>
          <w:color w:val="000000" w:themeColor="text1"/>
          <w:u w:color="000000" w:themeColor="text1"/>
        </w:rPr>
        <w:t>.</w:t>
      </w:r>
    </w:p>
    <w:p w:rsidR="000B0C71"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B191D">
        <w:rPr>
          <w:color w:val="000000" w:themeColor="text1"/>
          <w:u w:color="000000" w:themeColor="text1"/>
        </w:rPr>
        <w:t>2.</w:t>
      </w:r>
      <w:r>
        <w:rPr>
          <w:color w:val="000000" w:themeColor="text1"/>
          <w:u w:color="000000" w:themeColor="text1"/>
        </w:rPr>
        <w:tab/>
      </w:r>
      <w:r w:rsidRPr="002B191D">
        <w:rPr>
          <w:color w:val="000000" w:themeColor="text1"/>
          <w:u w:color="000000" w:themeColor="text1"/>
        </w:rPr>
        <w:t>Article 3, Chapter 39, Title 27 of the 1976 Code is amended by adding:</w:t>
      </w: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191D">
        <w:rPr>
          <w:color w:val="000000" w:themeColor="text1"/>
          <w:u w:color="000000" w:themeColor="text1"/>
        </w:rPr>
        <w:t>“Section 27</w:t>
      </w:r>
      <w:r w:rsidR="00E00EEF">
        <w:rPr>
          <w:color w:val="000000" w:themeColor="text1"/>
          <w:u w:color="000000" w:themeColor="text1"/>
        </w:rPr>
        <w:noBreakHyphen/>
      </w:r>
      <w:r w:rsidRPr="002B191D">
        <w:rPr>
          <w:color w:val="000000" w:themeColor="text1"/>
          <w:u w:color="000000" w:themeColor="text1"/>
        </w:rPr>
        <w:t>39</w:t>
      </w:r>
      <w:r w:rsidR="00E00EEF">
        <w:rPr>
          <w:color w:val="000000" w:themeColor="text1"/>
          <w:u w:color="000000" w:themeColor="text1"/>
        </w:rPr>
        <w:noBreakHyphen/>
      </w:r>
      <w:r w:rsidR="0013455B">
        <w:rPr>
          <w:color w:val="000000" w:themeColor="text1"/>
          <w:u w:color="000000" w:themeColor="text1"/>
        </w:rPr>
        <w:t>37</w:t>
      </w:r>
      <w:r w:rsidRPr="002B191D">
        <w:rPr>
          <w:color w:val="000000" w:themeColor="text1"/>
          <w:u w:color="000000" w:themeColor="text1"/>
        </w:rPr>
        <w:t>0.</w:t>
      </w:r>
      <w:r>
        <w:rPr>
          <w:color w:val="000000" w:themeColor="text1"/>
          <w:u w:color="000000" w:themeColor="text1"/>
        </w:rPr>
        <w:tab/>
      </w:r>
      <w:r w:rsidRPr="002B191D">
        <w:rPr>
          <w:color w:val="000000" w:themeColor="text1"/>
          <w:u w:color="000000" w:themeColor="text1"/>
        </w:rPr>
        <w:t>(A)</w:t>
      </w:r>
      <w:r>
        <w:rPr>
          <w:color w:val="000000" w:themeColor="text1"/>
          <w:u w:color="000000" w:themeColor="text1"/>
        </w:rPr>
        <w:tab/>
      </w:r>
      <w:r w:rsidRPr="002B191D">
        <w:rPr>
          <w:color w:val="000000" w:themeColor="text1"/>
          <w:u w:color="000000" w:themeColor="text1"/>
        </w:rPr>
        <w:t>If a tenancy is week to week, the landlord may not increase the rent without giving the tenant written notice at least seven days prior to the effective date of the rent increase.</w:t>
      </w: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191D">
        <w:rPr>
          <w:color w:val="000000" w:themeColor="text1"/>
          <w:u w:color="000000" w:themeColor="text1"/>
        </w:rPr>
        <w:t>(B)</w:t>
      </w:r>
      <w:r>
        <w:rPr>
          <w:color w:val="000000" w:themeColor="text1"/>
          <w:u w:color="000000" w:themeColor="text1"/>
        </w:rPr>
        <w:tab/>
      </w:r>
      <w:r w:rsidRPr="002B191D">
        <w:rPr>
          <w:color w:val="000000" w:themeColor="text1"/>
          <w:u w:color="000000" w:themeColor="text1"/>
        </w:rPr>
        <w:t>During any tenancy other than week to week, the landlord may not increase the rent:</w:t>
      </w: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B191D">
        <w:rPr>
          <w:color w:val="000000" w:themeColor="text1"/>
          <w:u w:color="000000" w:themeColor="text1"/>
        </w:rPr>
        <w:t>(1)</w:t>
      </w:r>
      <w:r>
        <w:rPr>
          <w:color w:val="000000" w:themeColor="text1"/>
          <w:u w:color="000000" w:themeColor="text1"/>
        </w:rPr>
        <w:tab/>
      </w:r>
      <w:r w:rsidRPr="002B191D">
        <w:rPr>
          <w:color w:val="000000" w:themeColor="text1"/>
          <w:u w:color="000000" w:themeColor="text1"/>
        </w:rPr>
        <w:t>during the first year after the tenancy begins;</w:t>
      </w: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B191D">
        <w:rPr>
          <w:color w:val="000000" w:themeColor="text1"/>
          <w:u w:color="000000" w:themeColor="text1"/>
        </w:rPr>
        <w:t>(2)</w:t>
      </w:r>
      <w:r>
        <w:rPr>
          <w:color w:val="000000" w:themeColor="text1"/>
          <w:u w:color="000000" w:themeColor="text1"/>
        </w:rPr>
        <w:tab/>
      </w:r>
      <w:r w:rsidRPr="002B191D">
        <w:rPr>
          <w:color w:val="000000" w:themeColor="text1"/>
          <w:u w:color="000000" w:themeColor="text1"/>
        </w:rPr>
        <w:t>at any time after the first year of tenancy without giving the tenant written notice at least ninety days prior to the effective date of the rent increase; or</w:t>
      </w: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B191D">
        <w:rPr>
          <w:color w:val="000000" w:themeColor="text1"/>
          <w:u w:color="000000" w:themeColor="text1"/>
        </w:rPr>
        <w:t>during any twelve</w:t>
      </w:r>
      <w:r w:rsidR="00E00EEF">
        <w:rPr>
          <w:color w:val="000000" w:themeColor="text1"/>
          <w:u w:color="000000" w:themeColor="text1"/>
        </w:rPr>
        <w:noBreakHyphen/>
      </w:r>
      <w:r w:rsidRPr="002B191D">
        <w:rPr>
          <w:color w:val="000000" w:themeColor="text1"/>
          <w:u w:color="000000" w:themeColor="text1"/>
        </w:rPr>
        <w:t xml:space="preserve">month period, in an amount greater than seven percent plus the consumer price index above the existing rent except as permitted by </w:t>
      </w:r>
      <w:r w:rsidR="003074EE">
        <w:rPr>
          <w:color w:val="000000" w:themeColor="text1"/>
          <w:u w:color="000000" w:themeColor="text1"/>
        </w:rPr>
        <w:t>subsection (E).</w:t>
      </w: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191D">
        <w:rPr>
          <w:color w:val="000000" w:themeColor="text1"/>
          <w:u w:color="000000" w:themeColor="text1"/>
        </w:rPr>
        <w:t>(C)</w:t>
      </w:r>
      <w:r>
        <w:rPr>
          <w:color w:val="000000" w:themeColor="text1"/>
          <w:u w:color="000000" w:themeColor="text1"/>
        </w:rPr>
        <w:tab/>
      </w:r>
      <w:r w:rsidRPr="002B191D">
        <w:rPr>
          <w:color w:val="000000" w:themeColor="text1"/>
          <w:u w:color="000000" w:themeColor="text1"/>
        </w:rPr>
        <w:t>The notice required under this section must specify:</w:t>
      </w: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B191D">
        <w:rPr>
          <w:color w:val="000000" w:themeColor="text1"/>
          <w:u w:color="000000" w:themeColor="text1"/>
        </w:rPr>
        <w:t>(1)</w:t>
      </w:r>
      <w:r>
        <w:rPr>
          <w:color w:val="000000" w:themeColor="text1"/>
          <w:u w:color="000000" w:themeColor="text1"/>
        </w:rPr>
        <w:tab/>
      </w:r>
      <w:r w:rsidRPr="002B191D">
        <w:rPr>
          <w:color w:val="000000" w:themeColor="text1"/>
          <w:u w:color="000000" w:themeColor="text1"/>
        </w:rPr>
        <w:t>the amount of the rent increase;</w:t>
      </w: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B191D">
        <w:rPr>
          <w:color w:val="000000" w:themeColor="text1"/>
          <w:u w:color="000000" w:themeColor="text1"/>
        </w:rPr>
        <w:t>(2)</w:t>
      </w:r>
      <w:r>
        <w:rPr>
          <w:color w:val="000000" w:themeColor="text1"/>
          <w:u w:color="000000" w:themeColor="text1"/>
        </w:rPr>
        <w:tab/>
      </w:r>
      <w:r w:rsidRPr="002B191D">
        <w:rPr>
          <w:color w:val="000000" w:themeColor="text1"/>
          <w:u w:color="000000" w:themeColor="text1"/>
        </w:rPr>
        <w:t>the amount of the new rent; and</w:t>
      </w: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B191D">
        <w:rPr>
          <w:color w:val="000000" w:themeColor="text1"/>
          <w:u w:color="000000" w:themeColor="text1"/>
        </w:rPr>
        <w:t>(3)</w:t>
      </w:r>
      <w:r>
        <w:rPr>
          <w:color w:val="000000" w:themeColor="text1"/>
          <w:u w:color="000000" w:themeColor="text1"/>
        </w:rPr>
        <w:tab/>
      </w:r>
      <w:r w:rsidRPr="002B191D">
        <w:rPr>
          <w:color w:val="000000" w:themeColor="text1"/>
          <w:u w:color="000000" w:themeColor="text1"/>
        </w:rPr>
        <w:t>facts supporting the exemption authorized by subsection (E) if the increase is above the amount allowed in subsection (B)(3); and</w:t>
      </w: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B191D">
        <w:rPr>
          <w:color w:val="000000" w:themeColor="text1"/>
          <w:u w:color="000000" w:themeColor="text1"/>
        </w:rPr>
        <w:t>(4)</w:t>
      </w:r>
      <w:r>
        <w:rPr>
          <w:color w:val="000000" w:themeColor="text1"/>
          <w:u w:color="000000" w:themeColor="text1"/>
        </w:rPr>
        <w:tab/>
      </w:r>
      <w:r w:rsidRPr="002B191D">
        <w:rPr>
          <w:color w:val="000000" w:themeColor="text1"/>
          <w:u w:color="000000" w:themeColor="text1"/>
        </w:rPr>
        <w:t>the effective date of the increased rent.</w:t>
      </w: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191D">
        <w:rPr>
          <w:color w:val="000000" w:themeColor="text1"/>
          <w:u w:color="000000" w:themeColor="text1"/>
        </w:rPr>
        <w:t>(D)</w:t>
      </w:r>
      <w:r>
        <w:rPr>
          <w:color w:val="000000" w:themeColor="text1"/>
          <w:u w:color="000000" w:themeColor="text1"/>
        </w:rPr>
        <w:tab/>
      </w:r>
      <w:r w:rsidRPr="002B191D">
        <w:rPr>
          <w:color w:val="000000" w:themeColor="text1"/>
          <w:u w:color="000000" w:themeColor="text1"/>
        </w:rPr>
        <w:t>A landlord term</w:t>
      </w:r>
      <w:r>
        <w:rPr>
          <w:color w:val="000000" w:themeColor="text1"/>
          <w:u w:color="000000" w:themeColor="text1"/>
        </w:rPr>
        <w:t>inating a tenancy with a thirty</w:t>
      </w:r>
      <w:r w:rsidR="00E00EEF">
        <w:rPr>
          <w:color w:val="000000" w:themeColor="text1"/>
          <w:u w:color="000000" w:themeColor="text1"/>
        </w:rPr>
        <w:noBreakHyphen/>
      </w:r>
      <w:r w:rsidRPr="002B191D">
        <w:rPr>
          <w:color w:val="000000" w:themeColor="text1"/>
          <w:u w:color="000000" w:themeColor="text1"/>
        </w:rPr>
        <w:t>day notice during the first year of a tenancy may not reset rent for the next tenancy in an amount greater than seven percent plus the consumer price index above the previous rent.</w:t>
      </w: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191D">
        <w:rPr>
          <w:color w:val="000000" w:themeColor="text1"/>
          <w:u w:color="000000" w:themeColor="text1"/>
        </w:rPr>
        <w:t>(E)</w:t>
      </w:r>
      <w:r>
        <w:rPr>
          <w:color w:val="000000" w:themeColor="text1"/>
          <w:u w:color="000000" w:themeColor="text1"/>
        </w:rPr>
        <w:tab/>
      </w:r>
      <w:r w:rsidRPr="002B191D">
        <w:rPr>
          <w:color w:val="000000" w:themeColor="text1"/>
          <w:u w:color="000000" w:themeColor="text1"/>
        </w:rPr>
        <w:t>A landlo</w:t>
      </w:r>
      <w:r w:rsidR="000736BE">
        <w:rPr>
          <w:color w:val="000000" w:themeColor="text1"/>
          <w:u w:color="000000" w:themeColor="text1"/>
        </w:rPr>
        <w:t>rd is not subject to subsection</w:t>
      </w:r>
      <w:r w:rsidRPr="002B191D">
        <w:rPr>
          <w:color w:val="000000" w:themeColor="text1"/>
          <w:u w:color="000000" w:themeColor="text1"/>
        </w:rPr>
        <w:t xml:space="preserve"> (B)(3) or (D) of this section if:</w:t>
      </w: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B191D">
        <w:rPr>
          <w:color w:val="000000" w:themeColor="text1"/>
          <w:u w:color="000000" w:themeColor="text1"/>
        </w:rPr>
        <w:t>(1)</w:t>
      </w:r>
      <w:r>
        <w:rPr>
          <w:color w:val="000000" w:themeColor="text1"/>
          <w:u w:color="000000" w:themeColor="text1"/>
        </w:rPr>
        <w:tab/>
      </w:r>
      <w:r w:rsidRPr="002B191D">
        <w:rPr>
          <w:color w:val="000000" w:themeColor="text1"/>
          <w:u w:color="000000" w:themeColor="text1"/>
        </w:rPr>
        <w:t>the first certificate of occupancy for the dwelling unit was issued less than fifteen years from the date of the notice of the rent increase; or</w:t>
      </w: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B191D">
        <w:rPr>
          <w:color w:val="000000" w:themeColor="text1"/>
          <w:u w:color="000000" w:themeColor="text1"/>
        </w:rPr>
        <w:t>(2)</w:t>
      </w:r>
      <w:r>
        <w:rPr>
          <w:color w:val="000000" w:themeColor="text1"/>
          <w:u w:color="000000" w:themeColor="text1"/>
        </w:rPr>
        <w:tab/>
      </w:r>
      <w:r w:rsidRPr="002B191D">
        <w:rPr>
          <w:color w:val="000000" w:themeColor="text1"/>
          <w:u w:color="000000" w:themeColor="text1"/>
        </w:rPr>
        <w:t>the landlord is providing reduced rent to the tenant as a part of a federal, state, or local program or subsidy.</w:t>
      </w: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191D">
        <w:rPr>
          <w:color w:val="000000" w:themeColor="text1"/>
          <w:u w:color="000000" w:themeColor="text1"/>
        </w:rPr>
        <w:t>(F)</w:t>
      </w:r>
      <w:r>
        <w:rPr>
          <w:color w:val="000000" w:themeColor="text1"/>
          <w:u w:color="000000" w:themeColor="text1"/>
        </w:rPr>
        <w:tab/>
      </w:r>
      <w:r w:rsidRPr="002B191D">
        <w:rPr>
          <w:color w:val="000000" w:themeColor="text1"/>
          <w:u w:color="000000" w:themeColor="text1"/>
        </w:rPr>
        <w:t>A landlord that increases rent in violation of subsection (B)(3) or (D) is liable to the tenant in an amount equal to three months</w:t>
      </w:r>
      <w:r w:rsidR="00E00EEF">
        <w:rPr>
          <w:color w:val="000000" w:themeColor="text1"/>
          <w:u w:color="000000" w:themeColor="text1"/>
        </w:rPr>
        <w:t>’</w:t>
      </w:r>
      <w:r w:rsidRPr="002B191D">
        <w:rPr>
          <w:color w:val="000000" w:themeColor="text1"/>
          <w:u w:color="000000" w:themeColor="text1"/>
        </w:rPr>
        <w:t xml:space="preserve"> rent plus actual damages suffered by the tenant.</w:t>
      </w: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2B191D">
        <w:rPr>
          <w:color w:val="000000" w:themeColor="text1"/>
          <w:u w:color="000000" w:themeColor="text1"/>
        </w:rPr>
        <w:t xml:space="preserve">For purposes of this section, </w:t>
      </w:r>
      <w:r w:rsidR="00E00EEF">
        <w:rPr>
          <w:color w:val="000000" w:themeColor="text1"/>
          <w:u w:color="000000" w:themeColor="text1"/>
        </w:rPr>
        <w:t>‘</w:t>
      </w:r>
      <w:r w:rsidRPr="002B191D">
        <w:rPr>
          <w:color w:val="000000" w:themeColor="text1"/>
          <w:u w:color="000000" w:themeColor="text1"/>
        </w:rPr>
        <w:t>consumer price index</w:t>
      </w:r>
      <w:r w:rsidR="00E00EEF">
        <w:rPr>
          <w:color w:val="000000" w:themeColor="text1"/>
          <w:u w:color="000000" w:themeColor="text1"/>
        </w:rPr>
        <w:t>’</w:t>
      </w:r>
      <w:r w:rsidRPr="002B191D">
        <w:rPr>
          <w:color w:val="000000" w:themeColor="text1"/>
          <w:u w:color="000000" w:themeColor="text1"/>
        </w:rPr>
        <w:t xml:space="preserve"> means the annual twelve month average change in the Consumer Price Index, Southeast Region, as published by the United States Department of Labor in September of the prior calendar year.”</w:t>
      </w: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B191D">
        <w:rPr>
          <w:color w:val="000000" w:themeColor="text1"/>
          <w:u w:color="000000" w:themeColor="text1"/>
        </w:rPr>
        <w:t>3.</w:t>
      </w:r>
      <w:r>
        <w:rPr>
          <w:color w:val="000000" w:themeColor="text1"/>
          <w:u w:color="000000" w:themeColor="text1"/>
        </w:rPr>
        <w:tab/>
      </w:r>
      <w:r w:rsidRPr="002B191D">
        <w:rPr>
          <w:color w:val="000000" w:themeColor="text1"/>
          <w:u w:color="000000" w:themeColor="text1"/>
        </w:rPr>
        <w:t>This act takes effect upon approval by the Governor.</w:t>
      </w:r>
    </w:p>
    <w:p w:rsidR="00E14917" w:rsidRDefault="00E00E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1129" w:rsidRDefault="00E91129" w:rsidP="00E91129">
      <w:pPr>
        <w:suppressAutoHyphens/>
      </w:pPr>
    </w:p>
    <w:sectPr w:rsidR="00E91129" w:rsidSect="00E911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20CD7" w:rsidRDefault="00D20CD7" w:rsidP="009F0C77">
      <w:r>
        <w:separator/>
      </w:r>
    </w:p>
  </w:endnote>
  <w:endnote w:type="continuationSeparator" w:id="0">
    <w:p w:rsidR="00D20CD7" w:rsidRDefault="00D20C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D5D3850-55E9-440E-A1C7-079F5E1702B8}"/>
    <w:embedBold r:id="rId2" w:fontKey="{B2891003-823C-4AF6-92BC-B1F4CEBB32C6}"/>
  </w:font>
  <w:font w:name="Calibri">
    <w:panose1 w:val="020F0502020204030204"/>
    <w:charset w:val="00"/>
    <w:family w:val="swiss"/>
    <w:pitch w:val="variable"/>
    <w:sig w:usb0="E4002EFF" w:usb1="C000247B" w:usb2="00000009" w:usb3="00000000" w:csb0="000001FF" w:csb1="00000000"/>
    <w:embedRegular r:id="rId3" w:fontKey="{AC7C1BCC-D115-4BB4-BFAD-D979AD8F7195}"/>
  </w:font>
  <w:font w:name="Segoe UI">
    <w:panose1 w:val="020B0502040204020203"/>
    <w:charset w:val="00"/>
    <w:family w:val="swiss"/>
    <w:pitch w:val="variable"/>
    <w:sig w:usb0="E4002EFF" w:usb1="C000E47F" w:usb2="00000009" w:usb3="00000000" w:csb0="000001FF" w:csb1="00000000"/>
    <w:embedRegular r:id="rId4" w:fontKey="{2AB8CAFB-2D87-4EAB-8B87-5569568C6110}"/>
  </w:font>
  <w:font w:name="Cambria">
    <w:panose1 w:val="02040503050406030204"/>
    <w:charset w:val="00"/>
    <w:family w:val="roman"/>
    <w:pitch w:val="variable"/>
    <w:sig w:usb0="E00006FF" w:usb1="420024FF" w:usb2="02000000" w:usb3="00000000" w:csb0="0000019F" w:csb1="00000000"/>
    <w:embedRegular r:id="rId5" w:fontKey="{6C580FAC-D1F2-404C-807A-79202988BD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14917" w:rsidRPr="00E91129" w:rsidRDefault="00E91129" w:rsidP="00E91129">
    <w:pPr>
      <w:pStyle w:val="Footer"/>
      <w:tabs>
        <w:tab w:val="clear" w:pos="4680"/>
        <w:tab w:val="clear" w:pos="9360"/>
        <w:tab w:val="center" w:pos="2995"/>
      </w:tabs>
      <w:spacing w:before="120"/>
    </w:pPr>
    <w:r>
      <w:t>[5176]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20CD7" w:rsidRDefault="00D20CD7" w:rsidP="009F0C77">
      <w:r>
        <w:separator/>
      </w:r>
    </w:p>
  </w:footnote>
  <w:footnote w:type="continuationSeparator" w:id="0">
    <w:p w:rsidR="00D20CD7" w:rsidRDefault="00D20C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557PH22"/>
    <w:docVar w:name="CoverBillType" w:val="b"/>
    <w:docVar w:name="DocPath" w:val="L:\Council\bills\JN\3557PH22.DOCX"/>
    <w:docVar w:name="dvBillNumber" w:val="5176"/>
    <w:docVar w:name="dvBillNumberPrefix" w:val="H. "/>
    <w:docVar w:name="dvOriginalBody" w:val="House"/>
    <w:docVar w:name="dvSteno" w:val="JN"/>
    <w:docVar w:name="NameofBody" w:val="h"/>
    <w:docVar w:name="vGroup2" w:val="Council"/>
  </w:docVars>
  <w:rsids>
    <w:rsidRoot w:val="00D20CD7"/>
    <w:rsid w:val="00011869"/>
    <w:rsid w:val="00015CD6"/>
    <w:rsid w:val="000736BE"/>
    <w:rsid w:val="000B0C71"/>
    <w:rsid w:val="000E0100"/>
    <w:rsid w:val="000E1785"/>
    <w:rsid w:val="000F40FA"/>
    <w:rsid w:val="00103531"/>
    <w:rsid w:val="001035F1"/>
    <w:rsid w:val="0010776B"/>
    <w:rsid w:val="00133E66"/>
    <w:rsid w:val="0013455B"/>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0BB2"/>
    <w:rsid w:val="002E5912"/>
    <w:rsid w:val="00301B21"/>
    <w:rsid w:val="003074EE"/>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37B3"/>
    <w:rsid w:val="006913C9"/>
    <w:rsid w:val="0069470D"/>
    <w:rsid w:val="006D58AA"/>
    <w:rsid w:val="00734F00"/>
    <w:rsid w:val="00736959"/>
    <w:rsid w:val="007A70AE"/>
    <w:rsid w:val="008362E8"/>
    <w:rsid w:val="0085786E"/>
    <w:rsid w:val="008A1768"/>
    <w:rsid w:val="008A489F"/>
    <w:rsid w:val="008F0F33"/>
    <w:rsid w:val="008F4429"/>
    <w:rsid w:val="0093277A"/>
    <w:rsid w:val="0094021A"/>
    <w:rsid w:val="009B44AF"/>
    <w:rsid w:val="009C6A0B"/>
    <w:rsid w:val="009F0C77"/>
    <w:rsid w:val="009F4DD1"/>
    <w:rsid w:val="00A02543"/>
    <w:rsid w:val="00A41684"/>
    <w:rsid w:val="00A429E2"/>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20CD7"/>
    <w:rsid w:val="00D73A67"/>
    <w:rsid w:val="00D970A9"/>
    <w:rsid w:val="00DF3845"/>
    <w:rsid w:val="00E00EEF"/>
    <w:rsid w:val="00E05807"/>
    <w:rsid w:val="00E14917"/>
    <w:rsid w:val="00E41911"/>
    <w:rsid w:val="00E44B57"/>
    <w:rsid w:val="00E91129"/>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FD8FC1-AE8A-4EC3-B5D8-E8B68D35B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74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4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9F770-B9FC-4EFD-B0D7-334F4D0C5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433</Words>
  <Characters>2025</Characters>
  <Application>Microsoft Office Word</Application>
  <DocSecurity>0</DocSecurity>
  <Lines>64</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5176 Text of Previous Version (Mar. 29, 2022) - South Carolina Legislature Online</dc:title>
  <dc:creator>Julie Newboult</dc:creator>
  <cp:lastModifiedBy>Sade Wilson</cp:lastModifiedBy>
  <cp:revision>2</cp:revision>
  <cp:lastPrinted>2022-03-17T18:31:00Z</cp:lastPrinted>
  <dcterms:created xsi:type="dcterms:W3CDTF">2022-03-29T17:31:00Z</dcterms:created>
  <dcterms:modified xsi:type="dcterms:W3CDTF">2022-03-29T17:31:00Z</dcterms:modified>
</cp:coreProperties>
</file>