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1478" w:rsidRDefault="005214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28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7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A6447">
        <w:rPr>
          <w:color w:val="000000" w:themeColor="text1"/>
          <w:u w:color="000000" w:themeColor="text1"/>
        </w:rPr>
        <w:t>TO AMEND SECTION 12</w:t>
      </w:r>
      <w:r w:rsidR="000D0D05">
        <w:rPr>
          <w:color w:val="000000" w:themeColor="text1"/>
          <w:u w:color="000000" w:themeColor="text1"/>
        </w:rPr>
        <w:noBreakHyphen/>
      </w:r>
      <w:r w:rsidRPr="002A6447">
        <w:rPr>
          <w:color w:val="000000" w:themeColor="text1"/>
          <w:u w:color="000000" w:themeColor="text1"/>
        </w:rPr>
        <w:t>36</w:t>
      </w:r>
      <w:r w:rsidR="000D0D05">
        <w:rPr>
          <w:color w:val="000000" w:themeColor="text1"/>
          <w:u w:color="000000" w:themeColor="text1"/>
        </w:rPr>
        <w:noBreakHyphen/>
      </w:r>
      <w:r w:rsidRPr="002A6447">
        <w:rPr>
          <w:color w:val="000000" w:themeColor="text1"/>
          <w:u w:color="000000" w:themeColor="text1"/>
        </w:rPr>
        <w:t>2120, CODE OF LAWS OF SOUTH CAROLINA, 1976, RELATING TO EXEMPTIONS FROM THE STATE SALES TAX, SO AS TO INCLUDE AN AGRI</w:t>
      </w:r>
      <w:r w:rsidR="00D61239">
        <w:rPr>
          <w:color w:val="000000" w:themeColor="text1"/>
          <w:u w:color="000000" w:themeColor="text1"/>
        </w:rPr>
        <w:t>BUSINESS</w:t>
      </w:r>
      <w:r w:rsidRPr="002A6447">
        <w:rPr>
          <w:color w:val="000000" w:themeColor="text1"/>
          <w:u w:color="000000" w:themeColor="text1"/>
        </w:rPr>
        <w:t xml:space="preserve"> PROCESSOR AS A MANUFACTURING FACILITY FOR PURPOSES OF THE EXEMPTION ON CONSTRUCTION MATERIALS.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2841" w:rsidRDefault="003B2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2841" w:rsidRDefault="003B2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234" w:rsidRPr="002A6447"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47">
        <w:rPr>
          <w:color w:val="000000" w:themeColor="text1"/>
          <w:u w:color="000000" w:themeColor="text1"/>
        </w:rPr>
        <w:t>SECTION</w:t>
      </w:r>
      <w:r w:rsidRPr="002A6447">
        <w:rPr>
          <w:color w:val="000000" w:themeColor="text1"/>
          <w:u w:color="000000" w:themeColor="text1"/>
        </w:rPr>
        <w:tab/>
        <w:t>1.</w:t>
      </w:r>
      <w:r w:rsidRPr="002A6447">
        <w:rPr>
          <w:color w:val="000000" w:themeColor="text1"/>
          <w:u w:color="000000" w:themeColor="text1"/>
        </w:rPr>
        <w:tab/>
        <w:t>Section 12</w:t>
      </w:r>
      <w:r w:rsidR="000D0D05">
        <w:rPr>
          <w:color w:val="000000" w:themeColor="text1"/>
          <w:u w:color="000000" w:themeColor="text1"/>
        </w:rPr>
        <w:noBreakHyphen/>
      </w:r>
      <w:r w:rsidRPr="002A6447">
        <w:rPr>
          <w:color w:val="000000" w:themeColor="text1"/>
          <w:u w:color="000000" w:themeColor="text1"/>
        </w:rPr>
        <w:t>36</w:t>
      </w:r>
      <w:r w:rsidR="000D0D05">
        <w:rPr>
          <w:color w:val="000000" w:themeColor="text1"/>
          <w:u w:color="000000" w:themeColor="text1"/>
        </w:rPr>
        <w:noBreakHyphen/>
      </w:r>
      <w:r w:rsidRPr="002A6447">
        <w:rPr>
          <w:color w:val="000000" w:themeColor="text1"/>
          <w:u w:color="000000" w:themeColor="text1"/>
        </w:rPr>
        <w:t>2120(67) of the 1976 Code is amended to read:</w:t>
      </w:r>
    </w:p>
    <w:p w:rsidR="008D7234" w:rsidRPr="002A6447"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7234" w:rsidRPr="002A6447"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47">
        <w:rPr>
          <w:color w:val="000000" w:themeColor="text1"/>
          <w:u w:color="000000" w:themeColor="text1"/>
        </w:rPr>
        <w:tab/>
        <w:t>“(67) 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0D0D05">
        <w:rPr>
          <w:color w:val="000000" w:themeColor="text1"/>
          <w:u w:color="000000" w:themeColor="text1"/>
        </w:rPr>
        <w:noBreakHyphen/>
      </w:r>
      <w:r w:rsidRPr="002A6447">
        <w:rPr>
          <w:color w:val="000000" w:themeColor="text1"/>
          <w:u w:color="000000" w:themeColor="text1"/>
        </w:rPr>
        <w:t>month period, or effective November 1, 2009, construction materials used in the construction of a new or expanded single manufacturing facility where:</w:t>
      </w:r>
    </w:p>
    <w:p w:rsidR="008D7234" w:rsidRPr="002A6447"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47">
        <w:rPr>
          <w:color w:val="000000" w:themeColor="text1"/>
          <w:u w:color="000000" w:themeColor="text1"/>
        </w:rPr>
        <w:tab/>
      </w:r>
      <w:r w:rsidRPr="002A6447">
        <w:rPr>
          <w:color w:val="000000" w:themeColor="text1"/>
          <w:u w:color="000000" w:themeColor="text1"/>
        </w:rPr>
        <w:tab/>
        <w:t>(i) the taxpayer invests at least seven hundred fifty million dollars in real or personal property or both comprising or located at the facility over a seven</w:t>
      </w:r>
      <w:r w:rsidR="000D0D05">
        <w:rPr>
          <w:color w:val="000000" w:themeColor="text1"/>
          <w:u w:color="000000" w:themeColor="text1"/>
        </w:rPr>
        <w:noBreakHyphen/>
      </w:r>
      <w:r w:rsidRPr="002A6447">
        <w:rPr>
          <w:color w:val="000000" w:themeColor="text1"/>
          <w:u w:color="000000" w:themeColor="text1"/>
        </w:rPr>
        <w:t>year period; and</w:t>
      </w:r>
    </w:p>
    <w:p w:rsidR="008D7234" w:rsidRPr="002A6447"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47">
        <w:rPr>
          <w:color w:val="000000" w:themeColor="text1"/>
          <w:u w:color="000000" w:themeColor="text1"/>
        </w:rPr>
        <w:tab/>
      </w:r>
      <w:r w:rsidRPr="002A6447">
        <w:rPr>
          <w:color w:val="000000" w:themeColor="text1"/>
          <w:u w:color="000000" w:themeColor="text1"/>
        </w:rPr>
        <w:tab/>
        <w:t>(ii) the taxpayer creates at least three thousand eight hundred full</w:t>
      </w:r>
      <w:r w:rsidR="000D0D05">
        <w:rPr>
          <w:color w:val="000000" w:themeColor="text1"/>
          <w:u w:color="000000" w:themeColor="text1"/>
        </w:rPr>
        <w:noBreakHyphen/>
      </w:r>
      <w:r w:rsidRPr="002A6447">
        <w:rPr>
          <w:color w:val="000000" w:themeColor="text1"/>
          <w:u w:color="000000" w:themeColor="text1"/>
        </w:rPr>
        <w:t>time new jobs at the facility during that seven</w:t>
      </w:r>
      <w:r w:rsidR="000D0D05">
        <w:rPr>
          <w:color w:val="000000" w:themeColor="text1"/>
          <w:u w:color="000000" w:themeColor="text1"/>
        </w:rPr>
        <w:noBreakHyphen/>
      </w:r>
      <w:r w:rsidRPr="002A6447">
        <w:rPr>
          <w:color w:val="000000" w:themeColor="text1"/>
          <w:u w:color="000000" w:themeColor="text1"/>
        </w:rPr>
        <w:t>year period.</w:t>
      </w:r>
    </w:p>
    <w:p w:rsidR="008D7234" w:rsidRPr="002A6447"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47">
        <w:rPr>
          <w:color w:val="000000" w:themeColor="text1"/>
          <w:u w:color="000000" w:themeColor="text1"/>
        </w:rPr>
        <w:tab/>
        <w:t xml:space="preserve">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w:t>
      </w:r>
      <w:r w:rsidRPr="002A6447">
        <w:rPr>
          <w:color w:val="000000" w:themeColor="text1"/>
          <w:u w:color="000000" w:themeColor="text1"/>
        </w:rPr>
        <w:lastRenderedPageBreak/>
        <w:t>applicable time period, that it has not met the investment requirement. The department may assess any tax due on construction materials purchased tax free pursuant to this subitem but due the State as a result of the taxpayer</w:t>
      </w:r>
      <w:r w:rsidR="000D0D05">
        <w:rPr>
          <w:color w:val="000000" w:themeColor="text1"/>
          <w:u w:color="000000" w:themeColor="text1"/>
        </w:rPr>
        <w:t>’</w:t>
      </w:r>
      <w:r w:rsidRPr="002A6447">
        <w:rPr>
          <w:color w:val="000000" w:themeColor="text1"/>
          <w:u w:color="000000" w:themeColor="text1"/>
        </w:rPr>
        <w:t>s failure to meet the investment requirement. The running of the periods of limitations for assessment of taxes provided in Section 12</w:t>
      </w:r>
      <w:r w:rsidR="000D0D05">
        <w:rPr>
          <w:color w:val="000000" w:themeColor="text1"/>
          <w:u w:color="000000" w:themeColor="text1"/>
        </w:rPr>
        <w:noBreakHyphen/>
      </w:r>
      <w:r w:rsidRPr="002A6447">
        <w:rPr>
          <w:color w:val="000000" w:themeColor="text1"/>
          <w:u w:color="000000" w:themeColor="text1"/>
        </w:rPr>
        <w:t>54</w:t>
      </w:r>
      <w:r w:rsidR="000D0D05">
        <w:rPr>
          <w:color w:val="000000" w:themeColor="text1"/>
          <w:u w:color="000000" w:themeColor="text1"/>
        </w:rPr>
        <w:noBreakHyphen/>
      </w:r>
      <w:r w:rsidRPr="002A644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8D7234" w:rsidRPr="00851208"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6447">
        <w:rPr>
          <w:color w:val="000000" w:themeColor="text1"/>
          <w:u w:color="000000" w:themeColor="text1"/>
        </w:rPr>
        <w:tab/>
        <w:t xml:space="preserve">As used in this subitem, </w:t>
      </w:r>
      <w:r w:rsidR="000D0D05">
        <w:rPr>
          <w:color w:val="000000" w:themeColor="text1"/>
          <w:u w:color="000000" w:themeColor="text1"/>
        </w:rPr>
        <w:t>‘</w:t>
      </w:r>
      <w:r w:rsidRPr="002A6447">
        <w:rPr>
          <w:color w:val="000000" w:themeColor="text1"/>
          <w:u w:color="000000" w:themeColor="text1"/>
        </w:rPr>
        <w:t>taxpayer</w:t>
      </w:r>
      <w:r w:rsidR="000D0D05">
        <w:rPr>
          <w:color w:val="000000" w:themeColor="text1"/>
          <w:u w:color="000000" w:themeColor="text1"/>
        </w:rPr>
        <w:t>’</w:t>
      </w:r>
      <w:r w:rsidRPr="002A6447">
        <w:rPr>
          <w:color w:val="000000" w:themeColor="text1"/>
          <w:u w:color="000000" w:themeColor="text1"/>
        </w:rPr>
        <w:t xml:space="preserve"> includes a person who bears a relationship to the taxpayer as described in Section 267(b) of the Internal Revenue Code</w:t>
      </w:r>
      <w:r w:rsidR="00851208">
        <w:rPr>
          <w:color w:val="000000" w:themeColor="text1"/>
          <w:u w:val="single" w:color="000000" w:themeColor="text1"/>
        </w:rPr>
        <w:t>.</w:t>
      </w:r>
    </w:p>
    <w:p w:rsidR="008D7234" w:rsidRPr="002A6447"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47">
        <w:rPr>
          <w:color w:val="000000" w:themeColor="text1"/>
          <w:u w:color="000000" w:themeColor="text1"/>
        </w:rPr>
        <w:tab/>
      </w:r>
      <w:r w:rsidRPr="002A6447">
        <w:rPr>
          <w:color w:val="000000" w:themeColor="text1"/>
          <w:u w:val="single" w:color="000000" w:themeColor="text1"/>
        </w:rPr>
        <w:t>For purposes of this item, an agri</w:t>
      </w:r>
      <w:r w:rsidR="00D61239">
        <w:rPr>
          <w:color w:val="000000" w:themeColor="text1"/>
          <w:u w:val="single" w:color="000000" w:themeColor="text1"/>
        </w:rPr>
        <w:t>business</w:t>
      </w:r>
      <w:r w:rsidRPr="002A6447">
        <w:rPr>
          <w:color w:val="000000" w:themeColor="text1"/>
          <w:u w:val="single" w:color="000000" w:themeColor="text1"/>
        </w:rPr>
        <w:t xml:space="preserve"> processor</w:t>
      </w:r>
      <w:r w:rsidR="00D61239">
        <w:rPr>
          <w:color w:val="000000" w:themeColor="text1"/>
          <w:u w:val="single" w:color="000000" w:themeColor="text1"/>
        </w:rPr>
        <w:t xml:space="preserve"> including, but not limited to, poultry processing,</w:t>
      </w:r>
      <w:r w:rsidRPr="002A6447">
        <w:rPr>
          <w:color w:val="000000" w:themeColor="text1"/>
          <w:u w:val="single" w:color="000000" w:themeColor="text1"/>
        </w:rPr>
        <w:t xml:space="preserve"> is deemed to be a manufacturing facility</w:t>
      </w:r>
      <w:r w:rsidR="00851208">
        <w:rPr>
          <w:color w:val="000000" w:themeColor="text1"/>
          <w:u w:color="000000" w:themeColor="text1"/>
        </w:rPr>
        <w:t>;</w:t>
      </w:r>
      <w:r w:rsidRPr="002A6447">
        <w:rPr>
          <w:color w:val="000000" w:themeColor="text1"/>
          <w:u w:color="000000" w:themeColor="text1"/>
        </w:rPr>
        <w:t>”</w:t>
      </w:r>
    </w:p>
    <w:p w:rsidR="008D7234" w:rsidRPr="002A6447"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841"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447">
        <w:rPr>
          <w:color w:val="000000" w:themeColor="text1"/>
          <w:u w:color="000000" w:themeColor="text1"/>
        </w:rPr>
        <w:t>SECTION</w:t>
      </w:r>
      <w:r w:rsidRPr="002A6447">
        <w:rPr>
          <w:color w:val="000000" w:themeColor="text1"/>
          <w:u w:color="000000" w:themeColor="text1"/>
        </w:rPr>
        <w:tab/>
        <w:t>2.</w:t>
      </w:r>
      <w:r w:rsidRPr="002A6447">
        <w:rPr>
          <w:color w:val="000000" w:themeColor="text1"/>
          <w:u w:color="000000" w:themeColor="text1"/>
        </w:rPr>
        <w:tab/>
        <w:t>This act takes effect July 1, 2021.</w:t>
      </w:r>
    </w:p>
    <w:p w:rsidR="009B3C40" w:rsidRDefault="000D0D05" w:rsidP="002C0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1478" w:rsidRDefault="00521478" w:rsidP="00521478">
      <w:pPr>
        <w:suppressAutoHyphens/>
      </w:pPr>
    </w:p>
    <w:sectPr w:rsidR="00521478" w:rsidSect="005214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841" w:rsidRDefault="003B2841" w:rsidP="009F0C77">
      <w:r>
        <w:separator/>
      </w:r>
    </w:p>
  </w:endnote>
  <w:endnote w:type="continuationSeparator" w:id="0">
    <w:p w:rsidR="003B2841" w:rsidRDefault="003B28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439761-E3AB-4AA4-94C6-C568AA9820F3}"/>
    <w:embedBold r:id="rId2" w:fontKey="{00E42931-DEBC-4557-95E7-58EAD0B053BE}"/>
  </w:font>
  <w:font w:name="Calibri">
    <w:panose1 w:val="020F0502020204030204"/>
    <w:charset w:val="00"/>
    <w:family w:val="swiss"/>
    <w:pitch w:val="variable"/>
    <w:sig w:usb0="E0002EFF" w:usb1="C000247B" w:usb2="00000009" w:usb3="00000000" w:csb0="000001FF" w:csb1="00000000"/>
    <w:embedRegular r:id="rId3" w:fontKey="{14D14093-0896-4620-B940-106E14FC4FA7}"/>
  </w:font>
  <w:font w:name="Segoe UI">
    <w:panose1 w:val="020B0502040204020203"/>
    <w:charset w:val="00"/>
    <w:family w:val="swiss"/>
    <w:pitch w:val="variable"/>
    <w:sig w:usb0="E4002EFF" w:usb1="C000E47F" w:usb2="00000009" w:usb3="00000000" w:csb0="000001FF" w:csb1="00000000"/>
    <w:embedRegular r:id="rId4" w:fontKey="{7457BE66-9F96-48C5-AD75-A2C1687CE54C}"/>
  </w:font>
  <w:font w:name="Cambria">
    <w:panose1 w:val="02040503050406030204"/>
    <w:charset w:val="00"/>
    <w:family w:val="roman"/>
    <w:pitch w:val="variable"/>
    <w:sig w:usb0="E00006FF" w:usb1="420024FF" w:usb2="02000000" w:usb3="00000000" w:csb0="0000019F" w:csb1="00000000"/>
    <w:embedRegular r:id="rId5" w:fontKey="{7625945B-8DD3-4ED6-8462-7A776D6E74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C40" w:rsidRPr="00521478" w:rsidRDefault="00521478" w:rsidP="00521478">
    <w:pPr>
      <w:pStyle w:val="Footer"/>
      <w:tabs>
        <w:tab w:val="clear" w:pos="4680"/>
        <w:tab w:val="clear" w:pos="9360"/>
        <w:tab w:val="center" w:pos="2995"/>
      </w:tabs>
      <w:spacing w:before="120"/>
    </w:pPr>
    <w:r>
      <w:t>[726]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841" w:rsidRDefault="003B2841" w:rsidP="009F0C77">
      <w:r>
        <w:separator/>
      </w:r>
    </w:p>
  </w:footnote>
  <w:footnote w:type="continuationSeparator" w:id="0">
    <w:p w:rsidR="003B2841" w:rsidRDefault="003B28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9DG21"/>
    <w:docVar w:name="CoverBillType" w:val="b"/>
    <w:docVar w:name="DocPath" w:val="L:\Council\bills\NBD\11219DG21.DOCX"/>
    <w:docVar w:name="dvBillNumber" w:val="726"/>
    <w:docVar w:name="dvBillNumberPrefix" w:val="S. "/>
    <w:docVar w:name="dvOriginalBody" w:val="Senate"/>
    <w:docVar w:name="dvSteno" w:val="NBD"/>
    <w:docVar w:name="NameofBody" w:val="s"/>
    <w:docVar w:name="vGroup2" w:val="Council"/>
  </w:docVars>
  <w:rsids>
    <w:rsidRoot w:val="003B2841"/>
    <w:rsid w:val="000263D9"/>
    <w:rsid w:val="00026C9A"/>
    <w:rsid w:val="000965A1"/>
    <w:rsid w:val="000C487D"/>
    <w:rsid w:val="000D0D05"/>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07B4"/>
    <w:rsid w:val="00325348"/>
    <w:rsid w:val="00393688"/>
    <w:rsid w:val="003B2841"/>
    <w:rsid w:val="003C3953"/>
    <w:rsid w:val="003D411E"/>
    <w:rsid w:val="003E3C1E"/>
    <w:rsid w:val="003E6148"/>
    <w:rsid w:val="003E7D04"/>
    <w:rsid w:val="00400EAA"/>
    <w:rsid w:val="0041760A"/>
    <w:rsid w:val="004203D7"/>
    <w:rsid w:val="00423F46"/>
    <w:rsid w:val="00461588"/>
    <w:rsid w:val="004809EE"/>
    <w:rsid w:val="004B2A8B"/>
    <w:rsid w:val="00511EE9"/>
    <w:rsid w:val="00521478"/>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1208"/>
    <w:rsid w:val="00872729"/>
    <w:rsid w:val="008B604D"/>
    <w:rsid w:val="008D1250"/>
    <w:rsid w:val="008D7234"/>
    <w:rsid w:val="008F4429"/>
    <w:rsid w:val="00932670"/>
    <w:rsid w:val="009352BB"/>
    <w:rsid w:val="00990668"/>
    <w:rsid w:val="009B397B"/>
    <w:rsid w:val="009B3C40"/>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1239"/>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8EEDE6-1AA6-4D36-B962-06C2ABB1A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0D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D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A552C-3BFF-4DAF-B104-589FF2A97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409</Words>
  <Characters>2116</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726 Text of Previous Version (Apr. 6, 2021) - South Carolina Legislature Online</dc:title>
  <dc:subject/>
  <dc:creator>Niki Downey</dc:creator>
  <cp:keywords/>
  <dc:description/>
  <cp:lastModifiedBy>S Wilson</cp:lastModifiedBy>
  <cp:revision>2</cp:revision>
  <cp:lastPrinted>2021-04-05T14:20:00Z</cp:lastPrinted>
  <dcterms:created xsi:type="dcterms:W3CDTF">2021-04-06T19:33:00Z</dcterms:created>
  <dcterms:modified xsi:type="dcterms:W3CDTF">2021-04-06T19:33:00Z</dcterms:modified>
</cp:coreProperties>
</file>