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C47BC" w14:textId="77777777" w:rsidR="00D16E74" w:rsidRPr="00522CE0" w:rsidRDefault="00D16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68379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FCF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383D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A388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B9FC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237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C87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7E0624" w14:textId="77777777" w:rsidR="00522CE0" w:rsidRPr="008F023B" w:rsidRDefault="00522CE0" w:rsidP="00D16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33B3">
        <w:rPr>
          <w:rFonts w:eastAsia="Times New Roman"/>
          <w:b/>
          <w:sz w:val="30"/>
          <w:szCs w:val="30"/>
        </w:rPr>
        <w:t>BILL</w:t>
      </w:r>
    </w:p>
    <w:p w14:paraId="35BE44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6AB86" w14:textId="3CC5BBEE" w:rsidR="00C10673" w:rsidRPr="00522CE0"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678C">
        <w:rPr>
          <w:rFonts w:eastAsia="Times New Roman"/>
          <w:color w:val="000000" w:themeColor="text1"/>
          <w:u w:color="000000" w:themeColor="text1"/>
        </w:rPr>
        <w:t>TO ENACT THE “SOUTH CAROLINA FALSE CLAIMS ACT”</w:t>
      </w:r>
      <w:r>
        <w:rPr>
          <w:rFonts w:eastAsia="Times New Roman"/>
          <w:color w:val="000000" w:themeColor="text1"/>
          <w:u w:color="000000" w:themeColor="text1"/>
        </w:rPr>
        <w:t>;</w:t>
      </w:r>
      <w:r w:rsidRPr="0047678C">
        <w:rPr>
          <w:rFonts w:eastAsia="Times New Roman"/>
          <w:color w:val="000000" w:themeColor="text1"/>
          <w:u w:color="000000" w:themeColor="text1"/>
        </w:rPr>
        <w:t xml:space="preserve"> </w:t>
      </w:r>
      <w:r w:rsidR="00C10673" w:rsidRPr="0047678C">
        <w:rPr>
          <w:rFonts w:eastAsia="Times New Roman"/>
          <w:color w:val="000000" w:themeColor="text1"/>
          <w:u w:color="000000" w:themeColor="text1"/>
        </w:rPr>
        <w:t xml:space="preserve">TO AMEND </w:t>
      </w:r>
      <w:r w:rsidR="00C10673">
        <w:rPr>
          <w:rFonts w:eastAsia="Times New Roman"/>
          <w:color w:val="000000" w:themeColor="text1"/>
          <w:u w:color="000000" w:themeColor="text1"/>
        </w:rPr>
        <w:t xml:space="preserve">TITLE 15 OF </w:t>
      </w:r>
      <w:r w:rsidR="00C10673" w:rsidRPr="0047678C">
        <w:rPr>
          <w:rFonts w:eastAsia="Times New Roman"/>
          <w:color w:val="000000" w:themeColor="text1"/>
          <w:u w:color="000000" w:themeColor="text1"/>
        </w:rPr>
        <w:t xml:space="preserve">THE </w:t>
      </w:r>
      <w:r w:rsidR="00C10673">
        <w:rPr>
          <w:rFonts w:eastAsia="Times New Roman"/>
          <w:color w:val="000000" w:themeColor="text1"/>
          <w:u w:color="000000" w:themeColor="text1"/>
        </w:rPr>
        <w:t>1976 CODE,</w:t>
      </w:r>
      <w:r w:rsidR="008815CB">
        <w:rPr>
          <w:rFonts w:eastAsia="Times New Roman"/>
          <w:color w:val="000000" w:themeColor="text1"/>
          <w:u w:color="000000" w:themeColor="text1"/>
        </w:rPr>
        <w:t xml:space="preserve"> RELATING TO CIVIL REMEDIES AND PROCEDURES,</w:t>
      </w:r>
      <w:r w:rsidR="00C10673">
        <w:rPr>
          <w:rFonts w:eastAsia="Times New Roman"/>
          <w:color w:val="000000" w:themeColor="text1"/>
          <w:u w:color="000000" w:themeColor="text1"/>
        </w:rPr>
        <w:t xml:space="preserve"> BY ADDING CHAPTER 85</w:t>
      </w:r>
      <w:r w:rsidR="00C10673" w:rsidRPr="0047678C">
        <w:rPr>
          <w:rFonts w:eastAsia="Times New Roman"/>
          <w:color w:val="000000" w:themeColor="text1"/>
          <w:u w:color="000000" w:themeColor="text1"/>
        </w:rPr>
        <w:t xml:space="preserve">, </w:t>
      </w:r>
      <w:r>
        <w:rPr>
          <w:rFonts w:eastAsia="Times New Roman"/>
          <w:color w:val="000000" w:themeColor="text1"/>
          <w:u w:color="000000" w:themeColor="text1"/>
        </w:rPr>
        <w:t xml:space="preserve">TO </w:t>
      </w:r>
      <w:r w:rsidR="00C10673" w:rsidRPr="0047678C">
        <w:rPr>
          <w:rFonts w:eastAsia="Times New Roman"/>
          <w:color w:val="000000" w:themeColor="text1"/>
          <w:u w:color="000000" w:themeColor="text1"/>
        </w:rPr>
        <w:t>PROVID</w:t>
      </w:r>
      <w:r>
        <w:rPr>
          <w:rFonts w:eastAsia="Times New Roman"/>
          <w:color w:val="000000" w:themeColor="text1"/>
          <w:u w:color="000000" w:themeColor="text1"/>
        </w:rPr>
        <w:t>E</w:t>
      </w:r>
      <w:r w:rsidR="00C10673" w:rsidRPr="0047678C">
        <w:rPr>
          <w:rFonts w:eastAsia="Times New Roman"/>
          <w:color w:val="000000" w:themeColor="text1"/>
          <w:u w:color="000000" w:themeColor="text1"/>
        </w:rPr>
        <w:t xml:space="preserve"> LIABILITY FOR FALSE OR FRAUDULENT CLAIMS UNDER CERTAIN CIRCUMSTANCES, PROCEDURES FOR CIVIL ACTIONS FOR FALSE CLAIMS, THE PROCEDURE AND CONTENTS OF CIVIL INVESTIGATIVE DEMANDS, AND CREATING THE STATE FALSE CLAIMS ACT INVESTIGATION AND PROSECUTION FUND</w:t>
      </w:r>
      <w:r>
        <w:rPr>
          <w:rFonts w:eastAsia="Times New Roman"/>
          <w:color w:val="000000" w:themeColor="text1"/>
          <w:u w:color="000000" w:themeColor="text1"/>
        </w:rPr>
        <w:t>, AND TO DEFINE NECESSARY TERMS</w:t>
      </w:r>
      <w:r w:rsidR="00C10673" w:rsidRPr="0047678C">
        <w:rPr>
          <w:rFonts w:eastAsia="Times New Roman"/>
          <w:color w:val="000000" w:themeColor="text1"/>
          <w:u w:color="000000" w:themeColor="text1"/>
        </w:rPr>
        <w:t>.</w:t>
      </w:r>
    </w:p>
    <w:p w14:paraId="352F21FA"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3735AE"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D134774"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8EEB5" w14:textId="77777777" w:rsidR="006A09F6"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A09F6">
        <w:rPr>
          <w:rFonts w:eastAsia="Times New Roman"/>
        </w:rPr>
        <w:t>This act must be known and may be cited as the “South Carolina False Claims Act”.</w:t>
      </w:r>
    </w:p>
    <w:p w14:paraId="76DA46C1" w14:textId="77777777" w:rsidR="006A09F6"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ED95260" w14:textId="77777777" w:rsidR="00C10673"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2.</w:t>
      </w:r>
      <w:r>
        <w:rPr>
          <w:rFonts w:eastAsia="Times New Roman"/>
        </w:rPr>
        <w:tab/>
      </w:r>
      <w:r w:rsidR="00C10673" w:rsidRPr="006535B8">
        <w:rPr>
          <w:rFonts w:eastAsia="Times New Roman"/>
          <w:snapToGrid w:val="0"/>
          <w:color w:val="000000" w:themeColor="text1"/>
          <w:szCs w:val="20"/>
          <w:u w:color="000000" w:themeColor="text1"/>
        </w:rPr>
        <w:t>Title 15 of the 1976 Code is amended by adding:</w:t>
      </w:r>
    </w:p>
    <w:p w14:paraId="6239F4E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4744AE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CHAPTER 85</w:t>
      </w:r>
    </w:p>
    <w:p w14:paraId="5C6B7B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2270C4EB" w14:textId="64B95880"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False Claims</w:t>
      </w:r>
    </w:p>
    <w:p w14:paraId="5B3F314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32B26FB8" w14:textId="0C5C14CB" w:rsidR="00C10673" w:rsidRPr="006535B8" w:rsidRDefault="00C10673"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10.</w:t>
      </w:r>
      <w:r w:rsidRPr="006535B8">
        <w:rPr>
          <w:rFonts w:eastAsia="Times New Roman"/>
          <w:snapToGrid w:val="0"/>
          <w:color w:val="000000" w:themeColor="text1"/>
          <w:szCs w:val="20"/>
          <w:u w:color="000000" w:themeColor="text1"/>
        </w:rPr>
        <w:tab/>
        <w:t>As used in this chapter:</w:t>
      </w:r>
    </w:p>
    <w:p w14:paraId="0274C1A3"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(1)</w:t>
      </w:r>
      <w:r w:rsidR="00C10673" w:rsidRPr="006535B8">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14:paraId="54352AE2"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(2)</w:t>
      </w:r>
      <w:r w:rsidR="00C10673" w:rsidRPr="006535B8">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w:t>
      </w:r>
      <w:r w:rsidR="00C10673">
        <w:rPr>
          <w:rFonts w:eastAsia="Times New Roman"/>
          <w:snapToGrid w:val="0"/>
          <w:color w:val="000000" w:themeColor="text1"/>
          <w:szCs w:val="20"/>
          <w:u w:color="000000" w:themeColor="text1"/>
        </w:rPr>
        <w:t xml:space="preserve">a </w:t>
      </w:r>
      <w:r w:rsidR="00C10673" w:rsidRPr="006535B8">
        <w:rPr>
          <w:rFonts w:eastAsia="Times New Roman"/>
          <w:snapToGrid w:val="0"/>
          <w:color w:val="000000" w:themeColor="text1"/>
          <w:szCs w:val="20"/>
          <w:u w:color="000000" w:themeColor="text1"/>
        </w:rPr>
        <w:t xml:space="preserve">computer or other information retrieval </w:t>
      </w:r>
      <w:r w:rsidR="00C10673" w:rsidRPr="006535B8">
        <w:rPr>
          <w:rFonts w:eastAsia="Times New Roman"/>
          <w:snapToGrid w:val="0"/>
          <w:color w:val="000000" w:themeColor="text1"/>
          <w:szCs w:val="20"/>
          <w:u w:color="000000" w:themeColor="text1"/>
        </w:rPr>
        <w:lastRenderedPageBreak/>
        <w:t>systems, together with instructions and all other materials necessary to use or interpret data compilations, and other products of discovery.</w:t>
      </w:r>
    </w:p>
    <w:p w14:paraId="16BB0170"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(3)</w:t>
      </w:r>
      <w:r w:rsidR="00C10673" w:rsidRPr="006535B8">
        <w:rPr>
          <w:rFonts w:eastAsia="Times New Roman"/>
          <w:snapToGrid w:val="0"/>
          <w:color w:val="000000" w:themeColor="text1"/>
          <w:szCs w:val="20"/>
          <w:u w:color="000000" w:themeColor="text1"/>
        </w:rPr>
        <w:tab/>
        <w:t>‘Guard’ means the South Carolina National Guard.</w:t>
      </w:r>
    </w:p>
    <w:p w14:paraId="1F32EE4C"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(4)</w:t>
      </w:r>
      <w:r w:rsidR="00C10673" w:rsidRPr="006535B8">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14:paraId="7FEC8D75"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(5)</w:t>
      </w:r>
      <w:r w:rsidR="00C10673" w:rsidRPr="006535B8">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14:paraId="30FBB605" w14:textId="7E7AF5E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(6)</w:t>
      </w:r>
      <w:r w:rsidR="00C10673" w:rsidRPr="006535B8">
        <w:rPr>
          <w:rFonts w:eastAsia="Times New Roman"/>
          <w:snapToGrid w:val="0"/>
          <w:color w:val="000000" w:themeColor="text1"/>
          <w:szCs w:val="20"/>
          <w:u w:color="000000" w:themeColor="text1"/>
        </w:rPr>
        <w:tab/>
        <w:t xml:space="preserve">‘Medicaid </w:t>
      </w:r>
      <w:r w:rsidR="001814A4">
        <w:rPr>
          <w:rFonts w:eastAsia="Times New Roman"/>
          <w:snapToGrid w:val="0"/>
          <w:color w:val="000000" w:themeColor="text1"/>
          <w:szCs w:val="20"/>
          <w:u w:color="000000" w:themeColor="text1"/>
        </w:rPr>
        <w:t>f</w:t>
      </w:r>
      <w:r w:rsidR="00C10673" w:rsidRPr="006535B8">
        <w:rPr>
          <w:rFonts w:eastAsia="Times New Roman"/>
          <w:snapToGrid w:val="0"/>
          <w:color w:val="000000" w:themeColor="text1"/>
          <w:szCs w:val="20"/>
          <w:u w:color="000000" w:themeColor="text1"/>
        </w:rPr>
        <w:t xml:space="preserve">raud </w:t>
      </w:r>
      <w:r w:rsidR="001814A4">
        <w:rPr>
          <w:rFonts w:eastAsia="Times New Roman"/>
          <w:snapToGrid w:val="0"/>
          <w:color w:val="000000" w:themeColor="text1"/>
          <w:szCs w:val="20"/>
          <w:u w:color="000000" w:themeColor="text1"/>
        </w:rPr>
        <w:t>c</w:t>
      </w:r>
      <w:r w:rsidR="00C10673" w:rsidRPr="006535B8">
        <w:rPr>
          <w:rFonts w:eastAsia="Times New Roman"/>
          <w:snapToGrid w:val="0"/>
          <w:color w:val="000000" w:themeColor="text1"/>
          <w:szCs w:val="20"/>
          <w:u w:color="000000" w:themeColor="text1"/>
        </w:rPr>
        <w:t xml:space="preserve">ontrol </w:t>
      </w:r>
      <w:r w:rsidR="001814A4">
        <w:rPr>
          <w:rFonts w:eastAsia="Times New Roman"/>
          <w:snapToGrid w:val="0"/>
          <w:color w:val="000000" w:themeColor="text1"/>
          <w:szCs w:val="20"/>
          <w:u w:color="000000" w:themeColor="text1"/>
        </w:rPr>
        <w:t>u</w:t>
      </w:r>
      <w:r w:rsidR="00C10673" w:rsidRPr="006535B8">
        <w:rPr>
          <w:rFonts w:eastAsia="Times New Roman"/>
          <w:snapToGrid w:val="0"/>
          <w:color w:val="000000" w:themeColor="text1"/>
          <w:szCs w:val="20"/>
          <w:u w:color="000000" w:themeColor="text1"/>
        </w:rPr>
        <w:t>nit’ means the South Carolina Medicaid Fraud Control Unit certified pursuant to federal law.</w:t>
      </w:r>
    </w:p>
    <w:p w14:paraId="4382A2AD" w14:textId="6F56C1E6" w:rsidR="001814A4" w:rsidRPr="006535B8" w:rsidRDefault="001814A4" w:rsidP="0018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7</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14:paraId="05A79DEB" w14:textId="6E597882"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8</w:t>
      </w:r>
      <w:r w:rsidR="00C10673" w:rsidRPr="006535B8">
        <w:rPr>
          <w:rFonts w:eastAsia="Times New Roman"/>
          <w:snapToGrid w:val="0"/>
          <w:color w:val="000000" w:themeColor="text1"/>
          <w:szCs w:val="20"/>
          <w:u w:color="000000" w:themeColor="text1"/>
        </w:rPr>
        <w:t>)</w:t>
      </w:r>
      <w:r w:rsidR="00C10673" w:rsidRPr="006535B8">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14:paraId="6B36591B"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(9)</w:t>
      </w:r>
      <w:r w:rsidR="00C10673" w:rsidRPr="006535B8">
        <w:rPr>
          <w:rFonts w:eastAsia="Times New Roman"/>
          <w:snapToGrid w:val="0"/>
          <w:color w:val="000000" w:themeColor="text1"/>
          <w:szCs w:val="20"/>
          <w:u w:color="000000" w:themeColor="text1"/>
        </w:rPr>
        <w:tab/>
        <w:t>‘Product of discovery’ includes:</w:t>
      </w:r>
    </w:p>
    <w:p w14:paraId="1F05478A"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(a)</w:t>
      </w:r>
      <w:r w:rsidR="00C10673" w:rsidRPr="006535B8">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14:paraId="28962DCF"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(b)</w:t>
      </w:r>
      <w:r w:rsidR="00C10673" w:rsidRPr="006535B8">
        <w:rPr>
          <w:rFonts w:eastAsia="Times New Roman"/>
          <w:snapToGrid w:val="0"/>
          <w:color w:val="000000" w:themeColor="text1"/>
          <w:szCs w:val="20"/>
          <w:u w:color="000000" w:themeColor="text1"/>
        </w:rPr>
        <w:tab/>
        <w:t>a digest, analysis, selection, compilation, or derivation of an item listed in item (a); and</w:t>
      </w:r>
    </w:p>
    <w:p w14:paraId="24682C47" w14:textId="77777777"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(c)</w:t>
      </w:r>
      <w:r w:rsidR="00C10673" w:rsidRPr="006535B8">
        <w:rPr>
          <w:rFonts w:eastAsia="Times New Roman"/>
          <w:snapToGrid w:val="0"/>
          <w:color w:val="000000" w:themeColor="text1"/>
          <w:szCs w:val="20"/>
          <w:u w:color="000000" w:themeColor="text1"/>
        </w:rPr>
        <w:tab/>
        <w:t>an index or other manner of access to an item listed in item (a).</w:t>
      </w:r>
    </w:p>
    <w:p w14:paraId="4B775D9C" w14:textId="0DA3E595" w:rsidR="00C10673" w:rsidRPr="006535B8" w:rsidRDefault="006A09F6"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C10673" w:rsidRPr="006535B8">
        <w:rPr>
          <w:rFonts w:eastAsia="Times New Roman"/>
          <w:snapToGrid w:val="0"/>
          <w:color w:val="000000" w:themeColor="text1"/>
          <w:szCs w:val="20"/>
          <w:u w:color="000000" w:themeColor="text1"/>
        </w:rPr>
        <w:tab/>
        <w:t>(10)</w:t>
      </w:r>
      <w:r w:rsidR="00C10673"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Q</w:t>
      </w:r>
      <w:r w:rsidR="00C10673" w:rsidRPr="006535B8">
        <w:rPr>
          <w:rFonts w:eastAsia="Times New Roman"/>
          <w:snapToGrid w:val="0"/>
          <w:color w:val="000000" w:themeColor="text1"/>
          <w:szCs w:val="20"/>
          <w:u w:color="000000" w:themeColor="text1"/>
        </w:rPr>
        <w:t>ui tam plaintiff</w:t>
      </w:r>
      <w:r w:rsidR="00E967D0">
        <w:rPr>
          <w:rFonts w:eastAsia="Times New Roman"/>
          <w:snapToGrid w:val="0"/>
          <w:color w:val="000000" w:themeColor="text1"/>
          <w:szCs w:val="20"/>
          <w:u w:color="000000" w:themeColor="text1"/>
        </w:rPr>
        <w:t>’</w:t>
      </w:r>
      <w:r w:rsidR="00C10673" w:rsidRPr="006535B8">
        <w:rPr>
          <w:rFonts w:eastAsia="Times New Roman"/>
          <w:snapToGrid w:val="0"/>
          <w:color w:val="000000" w:themeColor="text1"/>
          <w:szCs w:val="20"/>
          <w:u w:color="000000" w:themeColor="text1"/>
        </w:rPr>
        <w:t xml:space="preserve"> means a person who brings a civil action pursuant to this chapter.</w:t>
      </w:r>
    </w:p>
    <w:p w14:paraId="1A6EF3F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D91FFEE" w14:textId="20AA535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As used in this section:</w:t>
      </w:r>
    </w:p>
    <w:p w14:paraId="551425F3" w14:textId="1EC3CCEE" w:rsidR="006A09F6" w:rsidRPr="006535B8" w:rsidRDefault="006A09F6"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that is:</w:t>
      </w:r>
    </w:p>
    <w:p w14:paraId="0100C8FA" w14:textId="77777777" w:rsidR="006A09F6" w:rsidRPr="006535B8" w:rsidRDefault="006A09F6"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presented directly to an officer, employee, or an agent of the State, or</w:t>
      </w:r>
    </w:p>
    <w:p w14:paraId="162ACF4D" w14:textId="77777777" w:rsidR="006A09F6" w:rsidRPr="006535B8" w:rsidRDefault="006A09F6" w:rsidP="006A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to a contractor, grantor, or other recipient, if the money or property is to be spent or used on the State’s behalf or to advance </w:t>
      </w:r>
      <w:r w:rsidRPr="006535B8">
        <w:rPr>
          <w:rFonts w:eastAsia="Times New Roman"/>
          <w:snapToGrid w:val="0"/>
          <w:color w:val="000000" w:themeColor="text1"/>
          <w:szCs w:val="20"/>
          <w:u w:color="000000" w:themeColor="text1"/>
        </w:rPr>
        <w:lastRenderedPageBreak/>
        <w:t>a State program or interest and the State provides or reimburses any portion of the requested funds.</w:t>
      </w:r>
    </w:p>
    <w:p w14:paraId="035F8476" w14:textId="589983C0"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14:paraId="0269466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has actual knowledge of the information;</w:t>
      </w:r>
    </w:p>
    <w:p w14:paraId="1BBF6B2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acts in deliberate ignorance of the truth or falsity of the information; or</w:t>
      </w:r>
    </w:p>
    <w:p w14:paraId="197D6A3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acts in reckless disregard of the truth or falsity of the information.</w:t>
      </w:r>
    </w:p>
    <w:p w14:paraId="43C8143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14:paraId="6DBBDBB1" w14:textId="4371332D"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‘Obligation’ means an established duty whether or not fixed, arising from an express or implied contractual, grantor</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grantee, or licensor</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licensee relationship, from a fee</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based or similar relationship, from statue or regulation, or from retention of any overpayment.</w:t>
      </w:r>
    </w:p>
    <w:p w14:paraId="5AE7F61B" w14:textId="6BF9F53D"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A person who commits any of the following acts shall be liable to the State for three times the amount of damages which the State sustains </w:t>
      </w:r>
      <w:r w:rsidRPr="00C361B2">
        <w:rPr>
          <w:rFonts w:eastAsia="Times New Roman"/>
          <w:snapToGrid w:val="0"/>
          <w:color w:val="000000" w:themeColor="text1"/>
          <w:szCs w:val="20"/>
          <w:u w:color="000000" w:themeColor="text1"/>
        </w:rPr>
        <w:t>because of</w:t>
      </w:r>
      <w:r w:rsidRPr="006535B8">
        <w:rPr>
          <w:rFonts w:eastAsia="Times New Roman"/>
          <w:snapToGrid w:val="0"/>
          <w:color w:val="000000" w:themeColor="text1"/>
          <w:szCs w:val="20"/>
          <w:u w:color="000000" w:themeColor="text1"/>
        </w:rPr>
        <w:t xml:space="preserve"> the act of that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person who commits any of the following acts shall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410):</w:t>
      </w:r>
    </w:p>
    <w:p w14:paraId="0FD95DB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knowingly presents or causes to be presented a false or fraudulent claim for payment or approval;</w:t>
      </w:r>
    </w:p>
    <w:p w14:paraId="20ED5BF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14:paraId="4CEE2A2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14:paraId="67D4446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conspires to commit a violation of the South Carolina False Claims Act;</w:t>
      </w:r>
    </w:p>
    <w:p w14:paraId="555117A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14:paraId="2304712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14:paraId="7C74B93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14:paraId="24F2054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3C0C17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14:paraId="44CAE22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(C)</w:t>
      </w:r>
      <w:r w:rsidRPr="006535B8">
        <w:rPr>
          <w:rFonts w:eastAsia="Times New Roman"/>
          <w:snapToGrid w:val="0"/>
          <w:color w:val="000000" w:themeColor="text1"/>
          <w:szCs w:val="20"/>
          <w:u w:color="000000" w:themeColor="text1"/>
        </w:rPr>
        <w:tab/>
        <w:t>Notwithstanding sub</w:t>
      </w:r>
      <w:r>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 xml:space="preserve"> (B), the court may assess not less than two times the amount of damages which the State sustains because of the act of the person described in that sub</w:t>
      </w:r>
      <w:r>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 and no civil penalty, if the court</w:t>
      </w:r>
      <w:r>
        <w:rPr>
          <w:rFonts w:eastAsia="Times New Roman"/>
          <w:snapToGrid w:val="0"/>
          <w:color w:val="000000" w:themeColor="text1"/>
          <w:szCs w:val="20"/>
          <w:u w:color="000000" w:themeColor="text1"/>
        </w:rPr>
        <w:t xml:space="preserve"> finds all of the following:</w:t>
      </w:r>
      <w:r>
        <w:rPr>
          <w:rFonts w:eastAsia="Times New Roman"/>
          <w:snapToGrid w:val="0"/>
          <w:color w:val="000000" w:themeColor="text1"/>
          <w:szCs w:val="20"/>
          <w:u w:color="000000" w:themeColor="text1"/>
        </w:rPr>
        <w:cr/>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14:paraId="36539A3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ab/>
        <w:t>the person fully cooperated with any investigation by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404FD67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14:paraId="51E4878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This section does not apply to claims, records, or statements made under the South Carolina Income Tax Act.</w:t>
      </w:r>
    </w:p>
    <w:p w14:paraId="4730F5A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C4CE1CF" w14:textId="44A79C1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diligently investigate a civil violation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Attorney General finds that a person has violated or is violating the provisions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 xml:space="preserve">0,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Attorney General may bring a civil action pursuant to this section against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6C7F896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For an action by a private person:</w:t>
      </w:r>
    </w:p>
    <w:p w14:paraId="73C63D81" w14:textId="60AD8D0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 person may bring a civil action for a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for the person and for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The action must be </w:t>
      </w:r>
      <w:r w:rsidRPr="006535B8">
        <w:rPr>
          <w:rFonts w:eastAsia="Times New Roman"/>
          <w:snapToGrid w:val="0"/>
          <w:color w:val="000000" w:themeColor="text1"/>
          <w:szCs w:val="20"/>
          <w:u w:color="000000" w:themeColor="text1"/>
        </w:rPr>
        <w:lastRenderedPageBreak/>
        <w:t>brought in the name of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action may be dismissed only if the court and the Attorney General give written consent to the dismissal and their reasons for consenting.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1732740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complaint and all attachments must be filed in camera, must remain under seal for at least sixty days, and may not be served on the defendant until the court orders it served.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may elect to intervene and proceed with the action within sixty days after it receives both the complaint and the material evidence and information.</w:t>
      </w:r>
    </w:p>
    <w:p w14:paraId="0599F54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motions may be supported by affidavits or other submissions in camera.</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defendant may not be required to respond to a complaint filed pursuant to this section until thirty days after the complaint is unsealed and served on the defendant.</w:t>
      </w:r>
    </w:p>
    <w:p w14:paraId="7E6287BD" w14:textId="317F595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Before the expiration of the sixty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day period or an extension obtained pursuant to item (3), the State shall:</w:t>
      </w:r>
    </w:p>
    <w:p w14:paraId="24FE68A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proceed with the action, in which case the action must be conducted by the State, or</w:t>
      </w:r>
    </w:p>
    <w:p w14:paraId="4F01A66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14:paraId="0D59D88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14:paraId="4AD4400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In qui tam actions:</w:t>
      </w:r>
    </w:p>
    <w:p w14:paraId="4BA8507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If the State proceeds with the action,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it has the primary responsibility for prosecuting the action, and is not bound by an act of the qui tam plaintiff bringing the action.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has the right to continue as a party to the action, subject to the limitations provided in item (3).</w:t>
      </w:r>
    </w:p>
    <w:p w14:paraId="1323A08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If the State proceeds,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 xml:space="preserve">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w:t>
      </w:r>
      <w:r w:rsidRPr="006535B8">
        <w:rPr>
          <w:rFonts w:eastAsia="Times New Roman"/>
          <w:snapToGrid w:val="0"/>
          <w:color w:val="000000" w:themeColor="text1"/>
          <w:szCs w:val="20"/>
          <w:u w:color="000000" w:themeColor="text1"/>
        </w:rPr>
        <w:lastRenderedPageBreak/>
        <w:t>arises out of the conduct, transactions, or occurrences set forth, or attempted to be set forth, in the prior complaint of that person.</w:t>
      </w:r>
    </w:p>
    <w:p w14:paraId="58D11BF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(3)(a)</w:t>
      </w:r>
      <w:r w:rsidRPr="006535B8">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14:paraId="692B189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14:paraId="355C343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14:paraId="2D4C4BD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limiting the number of witnesses the person may call;</w:t>
      </w:r>
    </w:p>
    <w:p w14:paraId="63066ED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w:t>
      </w:r>
      <w:r w:rsidRPr="006535B8">
        <w:rPr>
          <w:rFonts w:eastAsia="Times New Roman"/>
          <w:snapToGrid w:val="0"/>
          <w:color w:val="000000" w:themeColor="text1"/>
          <w:szCs w:val="20"/>
          <w:u w:color="000000" w:themeColor="text1"/>
        </w:rPr>
        <w:tab/>
        <w:t>limiting the length of the testimony of the witnesses;</w:t>
      </w:r>
    </w:p>
    <w:p w14:paraId="08D711FD" w14:textId="6CDBC0E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(iii)</w:t>
      </w:r>
      <w:r w:rsidRPr="006535B8">
        <w:rPr>
          <w:rFonts w:eastAsia="Times New Roman"/>
          <w:snapToGrid w:val="0"/>
          <w:color w:val="000000" w:themeColor="text1"/>
          <w:szCs w:val="20"/>
          <w:u w:color="000000" w:themeColor="text1"/>
        </w:rPr>
        <w:tab/>
        <w:t>limiting the person’s cross</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examination of witnesses; or</w:t>
      </w:r>
    </w:p>
    <w:p w14:paraId="3DD9CF4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(iv)</w:t>
      </w:r>
      <w:r w:rsidRPr="006535B8">
        <w:rPr>
          <w:rFonts w:eastAsia="Times New Roman"/>
          <w:snapToGrid w:val="0"/>
          <w:color w:val="000000" w:themeColor="text1"/>
          <w:szCs w:val="20"/>
          <w:u w:color="000000" w:themeColor="text1"/>
        </w:rPr>
        <w:tab/>
        <w:t>otherwise limiting the participation by the person in the litigation.</w:t>
      </w:r>
    </w:p>
    <w:p w14:paraId="67F0E13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14:paraId="1EFD6E8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If the State elects not to proceed with the action,</w:t>
      </w:r>
      <w:r w:rsidR="001814A4">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the qui tam plaintiff who initiated the action has the right to conduct the action.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If the State requests,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it must be served with copies of all pleadings filed in the action and must be supplied with copies of all deposition transcripts at the state’s expense.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a qui tam plaintiff proceeds with the action, the court, without limiting the status and rights of the qui tam plaintiff initiating the action, may permit the State to intervene at a later date upon a showing of good cause.</w:t>
      </w:r>
    </w:p>
    <w:p w14:paraId="7B84E4B6" w14:textId="5D52C4A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 xml:space="preserve">Whether or not the State proceeds with the action, upon a showing by the State that certain actions of discovery by the qui tam </w:t>
      </w:r>
      <w:r w:rsidRPr="006535B8">
        <w:rPr>
          <w:rFonts w:eastAsia="Times New Roman"/>
          <w:snapToGrid w:val="0"/>
          <w:color w:val="000000" w:themeColor="text1"/>
          <w:szCs w:val="20"/>
          <w:u w:color="000000" w:themeColor="text1"/>
        </w:rPr>
        <w:lastRenderedPageBreak/>
        <w:t>plaintiff initiating the action would interfere with the state’s investigation or prosecution of a criminal or civil matter arising out of the same facts, the court may stay discovery for a period of not more than sixty days.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showing must be conducted in camera.</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court may extend the sixty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14:paraId="34470D8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Pr>
          <w:rFonts w:eastAsia="Times New Roman"/>
          <w:snapToGrid w:val="0"/>
          <w:color w:val="000000" w:themeColor="text1"/>
          <w:szCs w:val="20"/>
          <w:u w:color="000000" w:themeColor="text1"/>
        </w:rPr>
        <w:t>6</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If an alternate remedy is pursued in another proceeding,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qui tam plaintiff initiating the action has the same rights in the proceeding as the qui tam plaintiff would have had if the action had continued pursuant to the provisions of this 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of fact or conclusion of law made in another proceeding that has become final is conclusive on all parties to an action pursuant to the provisions of this 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14:paraId="24DE03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award to a qui tam plaintiff:</w:t>
      </w:r>
    </w:p>
    <w:p w14:paraId="743C05F3" w14:textId="5C8C5BD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an action brought by a qui tam plaintiff pursuant to subsection (B),</w:t>
      </w:r>
      <w:r w:rsidR="001814A4">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the qui tam plaintiff shall receive at least fifteen percent but not more than 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of the proceeds of the action or settlement of the claim, depending upon the extent to which the qui tam plaintiff substantially contributed to the prosecution of the action and subject to the limitations of this item.</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Payment to a qui tam plaintiff pursuant to the provisions of this item must be made from the proceeds.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This person </w:t>
      </w:r>
      <w:r w:rsidRPr="006535B8">
        <w:rPr>
          <w:rFonts w:eastAsia="Times New Roman"/>
          <w:snapToGrid w:val="0"/>
          <w:color w:val="000000" w:themeColor="text1"/>
          <w:szCs w:val="20"/>
          <w:u w:color="000000" w:themeColor="text1"/>
        </w:rPr>
        <w:lastRenderedPageBreak/>
        <w:t xml:space="preserve">also shall receive an amount for reasonable expenses which the court finds to have been necessarily incurred, plus reasonable </w:t>
      </w:r>
      <w:r>
        <w:rPr>
          <w:rFonts w:eastAsia="Times New Roman"/>
          <w:snapToGrid w:val="0"/>
          <w:color w:val="000000" w:themeColor="text1"/>
          <w:szCs w:val="20"/>
          <w:u w:color="000000" w:themeColor="text1"/>
        </w:rPr>
        <w:t>attorney</w:t>
      </w:r>
      <w:r w:rsidRPr="006535B8">
        <w:rPr>
          <w:rFonts w:eastAsia="Times New Roman"/>
          <w:snapToGrid w:val="0"/>
          <w:color w:val="000000" w:themeColor="text1"/>
          <w:szCs w:val="20"/>
          <w:u w:color="000000" w:themeColor="text1"/>
        </w:rPr>
        <w:t>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also shall receive an amount for reasonable expenses which the court finds to have been necessarily incurred by the Attorney General</w:t>
      </w:r>
      <w:r>
        <w:rPr>
          <w:rFonts w:eastAsia="Times New Roman"/>
          <w:snapToGrid w:val="0"/>
          <w:color w:val="000000" w:themeColor="text1"/>
          <w:szCs w:val="20"/>
          <w:u w:color="000000" w:themeColor="text1"/>
        </w:rPr>
        <w:t>, including reasonable attorney</w:t>
      </w:r>
      <w:r w:rsidRPr="006535B8">
        <w:rPr>
          <w:rFonts w:eastAsia="Times New Roman"/>
          <w:snapToGrid w:val="0"/>
          <w:color w:val="000000" w:themeColor="text1"/>
          <w:szCs w:val="20"/>
          <w:u w:color="000000" w:themeColor="text1"/>
        </w:rPr>
        <w:t>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 which must be paid directly to the Attorney General.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3DBD3C87" w14:textId="50188193"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If the State does not proceed with an action pursuant to this section,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person bringing the action or settling the claim shall receive an amount which the court decides is reasonable for collecting the civil penalty and damages.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amount may not be less than 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and not more than thirty percent of the proceeds of the action or settlement and must be paid out of the proceeds.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also shall receive an amount for reasonable expenses which the court finds to have been necessarily inc</w:t>
      </w:r>
      <w:r>
        <w:rPr>
          <w:rFonts w:eastAsia="Times New Roman"/>
          <w:snapToGrid w:val="0"/>
          <w:color w:val="000000" w:themeColor="text1"/>
          <w:szCs w:val="20"/>
          <w:u w:color="000000" w:themeColor="text1"/>
        </w:rPr>
        <w:t>urred, plus reasonable attorney</w:t>
      </w:r>
      <w:r w:rsidRPr="006535B8">
        <w:rPr>
          <w:rFonts w:eastAsia="Times New Roman"/>
          <w:snapToGrid w:val="0"/>
          <w:color w:val="000000" w:themeColor="text1"/>
          <w:szCs w:val="20"/>
          <w:u w:color="000000" w:themeColor="text1"/>
        </w:rPr>
        <w:t>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1FC7ED9F" w14:textId="7140FDA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bringing the action is convicted of criminal conduct arising from his role in the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sidR="001814A4">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that person must be dismissed from the civil action and shall not receive a share of the proceeds of the action.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dismissal does not prejudice the right of the State or other qui tam plaintiffs to continue the action.</w:t>
      </w:r>
    </w:p>
    <w:p w14:paraId="53F3B9C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 xml:space="preserve">If the State does not proceed with the action and the person bringing the action conducts the action, </w:t>
      </w:r>
      <w:r w:rsidR="006A09F6">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court may award to the def</w:t>
      </w:r>
      <w:r>
        <w:rPr>
          <w:rFonts w:eastAsia="Times New Roman"/>
          <w:snapToGrid w:val="0"/>
          <w:color w:val="000000" w:themeColor="text1"/>
          <w:szCs w:val="20"/>
          <w:u w:color="000000" w:themeColor="text1"/>
        </w:rPr>
        <w:t>endant its reasonable attorneys’</w:t>
      </w:r>
      <w:r w:rsidRPr="006535B8">
        <w:rPr>
          <w:rFonts w:eastAsia="Times New Roman"/>
          <w:snapToGrid w:val="0"/>
          <w:color w:val="000000" w:themeColor="text1"/>
          <w:szCs w:val="20"/>
          <w:u w:color="000000" w:themeColor="text1"/>
        </w:rPr>
        <w:t xml:space="preserve"> fees and expenses if the defendant prevails in the action and the court finds by clear and convincing evidence that the claim of the person bringing the action was clearly frivolous, clearly vexatious, or brought primarily for purposes of harassment.</w:t>
      </w:r>
    </w:p>
    <w:p w14:paraId="482B49B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(E)(1)</w:t>
      </w:r>
      <w:r w:rsidRPr="006535B8">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14:paraId="3FB8727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A court does not have jurisdiction over an action brought pursuant to subsection (B) against a member of the General </w:t>
      </w:r>
      <w:r w:rsidRPr="006535B8">
        <w:rPr>
          <w:rFonts w:eastAsia="Times New Roman"/>
          <w:snapToGrid w:val="0"/>
          <w:color w:val="000000" w:themeColor="text1"/>
          <w:szCs w:val="20"/>
          <w:u w:color="000000" w:themeColor="text1"/>
        </w:rPr>
        <w:lastRenderedPageBreak/>
        <w:t>Assembly, a member of the judiciary, or an exempt official if the action is based on evidence or information known to the State when the action was brought.</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‘Exempt official’ means the following officials in state service: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directors of state agencies, the Adjutant General, the Assistant Adjutant General, members of state boards and commissions, and all other positions appointed by the Governor by and with the consent of the Senate.</w:t>
      </w:r>
    </w:p>
    <w:p w14:paraId="220CD9F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14:paraId="62118C5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(4)(a)</w:t>
      </w:r>
      <w:r w:rsidRPr="006535B8">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14:paraId="5641389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w:t>
      </w:r>
      <w:r w:rsidRPr="006535B8">
        <w:rPr>
          <w:rFonts w:eastAsia="Times New Roman"/>
          <w:snapToGrid w:val="0"/>
          <w:color w:val="000000" w:themeColor="text1"/>
          <w:szCs w:val="20"/>
          <w:u w:color="000000" w:themeColor="text1"/>
        </w:rPr>
        <w:tab/>
        <w:t>in a criminal, civil, or administrative hearing, in which the State or its agent is a party;</w:t>
      </w:r>
    </w:p>
    <w:p w14:paraId="1F2432E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w:t>
      </w:r>
      <w:r w:rsidRPr="006535B8">
        <w:rPr>
          <w:rFonts w:eastAsia="Times New Roman"/>
          <w:snapToGrid w:val="0"/>
          <w:color w:val="000000" w:themeColor="text1"/>
          <w:szCs w:val="20"/>
          <w:u w:color="000000" w:themeColor="text1"/>
        </w:rPr>
        <w:tab/>
        <w:t>in a legislative, government accountability office, or other State report, hearing, audit, or investigation;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4AC07C3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(iii)</w:t>
      </w:r>
      <w:r w:rsidRPr="006535B8">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14:paraId="55691BD9" w14:textId="681BAA1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ab/>
        <w:t xml:space="preserve">For </w:t>
      </w:r>
      <w:r w:rsidR="001814A4">
        <w:rPr>
          <w:rFonts w:eastAsia="Times New Roman"/>
          <w:snapToGrid w:val="0"/>
          <w:color w:val="000000" w:themeColor="text1"/>
          <w:szCs w:val="20"/>
          <w:u w:color="000000" w:themeColor="text1"/>
        </w:rPr>
        <w:t xml:space="preserve">the </w:t>
      </w:r>
      <w:r w:rsidRPr="006535B8">
        <w:rPr>
          <w:rFonts w:eastAsia="Times New Roman"/>
          <w:snapToGrid w:val="0"/>
          <w:color w:val="000000" w:themeColor="text1"/>
          <w:szCs w:val="20"/>
          <w:u w:color="000000" w:themeColor="text1"/>
        </w:rPr>
        <w:t xml:space="preserve">purposes of this </w:t>
      </w:r>
      <w:r w:rsidR="001814A4">
        <w:rPr>
          <w:rFonts w:eastAsia="Times New Roman"/>
          <w:snapToGrid w:val="0"/>
          <w:color w:val="000000" w:themeColor="text1"/>
          <w:szCs w:val="20"/>
          <w:u w:color="000000" w:themeColor="text1"/>
        </w:rPr>
        <w:t>item</w:t>
      </w:r>
      <w:r w:rsidRPr="006535B8">
        <w:rPr>
          <w:rFonts w:eastAsia="Times New Roman"/>
          <w:snapToGrid w:val="0"/>
          <w:color w:val="000000" w:themeColor="text1"/>
          <w:szCs w:val="20"/>
          <w:u w:color="000000" w:themeColor="text1"/>
        </w:rPr>
        <w:t xml:space="preserve">,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14:paraId="3C5E28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The State is not liable for expenses which a person incurs in bringing an action pursuant to this section.</w:t>
      </w:r>
    </w:p>
    <w:p w14:paraId="034779F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because of lawful acts done by the employee, contractor, agent, or associated others in furtherance of an action under this section or other efforts to stop one or more violations of this subchapter,</w:t>
      </w:r>
    </w:p>
    <w:p w14:paraId="681E445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 xml:space="preserve">Relief under subsection (G) shall include reinstatement with the same seniority status that employee, contractor, or agent would have had but for the discrimination, two times the amount of back </w:t>
      </w:r>
      <w:r w:rsidRPr="006535B8">
        <w:rPr>
          <w:rFonts w:eastAsia="Times New Roman"/>
          <w:snapToGrid w:val="0"/>
          <w:color w:val="000000" w:themeColor="text1"/>
          <w:szCs w:val="20"/>
          <w:u w:color="000000" w:themeColor="text1"/>
        </w:rPr>
        <w:lastRenderedPageBreak/>
        <w:t>pay, interest on the back pay, and compensation for any special damages sustained as a result of the discrimination, including litigation costs and reasonable attorneys</w:t>
      </w: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under this subsection may be brought in the appropriate circuit court for the relief provided in this subsection.</w:t>
      </w:r>
    </w:p>
    <w:p w14:paraId="6C31322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A civil action under this subsection may not be brought more than three years after the date when the retaliation occurred.</w:t>
      </w:r>
      <w:r>
        <w:rPr>
          <w:rFonts w:eastAsia="Times New Roman"/>
          <w:snapToGrid w:val="0"/>
          <w:color w:val="000000" w:themeColor="text1"/>
          <w:szCs w:val="20"/>
          <w:u w:color="000000" w:themeColor="text1"/>
        </w:rPr>
        <w:t xml:space="preserve"> </w:t>
      </w:r>
    </w:p>
    <w:p w14:paraId="365EAE0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947400C" w14:textId="5F8BC4EB"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 subpoena requiring the attendance of a witness at a trial or hearing conducted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 may be served at any place in the State.</w:t>
      </w:r>
    </w:p>
    <w:p w14:paraId="6D70EFB6" w14:textId="1542C826"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civil action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 may not be brought:</w:t>
      </w:r>
    </w:p>
    <w:p w14:paraId="20A913C7" w14:textId="590306E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more than six years after the date on which the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is committed;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11687A1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14:paraId="70213C3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If the State proceeds,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14:paraId="46100516" w14:textId="45111B7C"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action brought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 the State is required to prove all essential elements of the cause of action, including damages, by a preponderance of the evidence.</w:t>
      </w:r>
    </w:p>
    <w:p w14:paraId="6FA0079D" w14:textId="2CE23A70"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0(A) or (B).</w:t>
      </w:r>
    </w:p>
    <w:p w14:paraId="6950FE1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33042C5" w14:textId="38636B4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 xml:space="preserve">Whenever the Attorney General, or a designee (for purposes of this section), has reason to believe that a </w:t>
      </w:r>
      <w:r w:rsidRPr="006535B8">
        <w:rPr>
          <w:rFonts w:eastAsia="Times New Roman"/>
          <w:snapToGrid w:val="0"/>
          <w:color w:val="000000" w:themeColor="text1"/>
          <w:szCs w:val="20"/>
          <w:u w:color="000000" w:themeColor="text1"/>
        </w:rPr>
        <w:lastRenderedPageBreak/>
        <w:t>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14:paraId="4D7E62E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produce documentary material for inspection and copying;</w:t>
      </w:r>
    </w:p>
    <w:p w14:paraId="04A5CC0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answer, in writing, written interrogatories with respect to documentary material or information;</w:t>
      </w:r>
    </w:p>
    <w:p w14:paraId="67910FA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give oral testimony concerning documentary material or information; or</w:t>
      </w:r>
    </w:p>
    <w:p w14:paraId="4312046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furnish a combination of material, answers, or testimony.</w:t>
      </w:r>
    </w:p>
    <w:p w14:paraId="253EFC7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Attorney General may delegate the authority to issue civil investigative demands under this subsection.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Any information obtained by the Attorney General or a designee of the Attorney General under this section may be shared with any qui tam plaintiff if the Attorney General or designee determine</w:t>
      </w:r>
      <w:r>
        <w:rPr>
          <w:rFonts w:eastAsia="Times New Roman"/>
          <w:snapToGrid w:val="0"/>
          <w:color w:val="000000" w:themeColor="text1"/>
          <w:szCs w:val="20"/>
          <w:u w:color="000000" w:themeColor="text1"/>
        </w:rPr>
        <w:t>s</w:t>
      </w:r>
      <w:r w:rsidRPr="006535B8">
        <w:rPr>
          <w:rFonts w:eastAsia="Times New Roman"/>
          <w:snapToGrid w:val="0"/>
          <w:color w:val="000000" w:themeColor="text1"/>
          <w:szCs w:val="20"/>
          <w:u w:color="000000" w:themeColor="text1"/>
        </w:rPr>
        <w:t xml:space="preserve"> it is necessary as part of any f</w:t>
      </w:r>
      <w:r>
        <w:rPr>
          <w:rFonts w:eastAsia="Times New Roman"/>
          <w:snapToGrid w:val="0"/>
          <w:color w:val="000000" w:themeColor="text1"/>
          <w:szCs w:val="20"/>
          <w:u w:color="000000" w:themeColor="text1"/>
        </w:rPr>
        <w:t>alse claims act investigation.</w:t>
      </w:r>
    </w:p>
    <w:p w14:paraId="7C684B6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14:paraId="4821970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 xml:space="preserve">If the demand is for the production of documentary material,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demand must:</w:t>
      </w:r>
    </w:p>
    <w:p w14:paraId="4BAB642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14:paraId="092EBF2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61682CD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material must be made available.</w:t>
      </w:r>
    </w:p>
    <w:p w14:paraId="748CD64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 xml:space="preserve">If the demand is for answers to written interrogatories,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demand must:</w:t>
      </w:r>
    </w:p>
    <w:p w14:paraId="5A050EA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list with specificity the written interrogatories to be answered;</w:t>
      </w:r>
    </w:p>
    <w:p w14:paraId="0F10D53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dates at which time answers to written interrogatories must be submitted;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13CFAA8C"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answers must be submitted.</w:t>
      </w:r>
    </w:p>
    <w:p w14:paraId="20CE65F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 xml:space="preserve">If the demand is for the giving of oral testimony,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demand must:</w:t>
      </w:r>
    </w:p>
    <w:p w14:paraId="292BB6C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prescribe a date, time, and place at which oral testimony must be commenced;</w:t>
      </w:r>
    </w:p>
    <w:p w14:paraId="0D0F297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14:paraId="19B7614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specify that the attendance and testimony are necessary to the conduct of the investigation;</w:t>
      </w:r>
    </w:p>
    <w:p w14:paraId="2B1C85F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notify the person receiving the demand of the right to be accompanied by an attorney and another representative;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004D0B8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14:paraId="26C04B55"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14:paraId="3A16B713"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14:paraId="147A28C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14:paraId="2D7BEC3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(J)</w:t>
      </w:r>
      <w:r w:rsidRPr="006535B8">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14:paraId="0622704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subpoenas or subpoenas duces tecum issued by a court of this State to aid in grand jury investigations;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239E2E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14:paraId="31C3927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(K)</w:t>
      </w:r>
      <w:r w:rsidRPr="006535B8">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Disclosure of a product of discovery pursuant to an express demand does not constitute a waiver of any right or privilege which the person making the disclosure may be entitled to invoke to resist discovery of trial preparation materials.</w:t>
      </w:r>
    </w:p>
    <w:p w14:paraId="36D6962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14B357A" w14:textId="43FFD9B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6</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(A)(1)</w:t>
      </w:r>
      <w:r w:rsidRPr="006535B8">
        <w:rPr>
          <w:rFonts w:eastAsia="Times New Roman"/>
          <w:snapToGrid w:val="0"/>
          <w:color w:val="000000" w:themeColor="text1"/>
          <w:szCs w:val="20"/>
          <w:u w:color="000000" w:themeColor="text1"/>
        </w:rPr>
        <w:tab/>
        <w:t>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0(A) may be served by an investigator, or by another person authorized to serve process on individuals within this State.</w:t>
      </w:r>
    </w:p>
    <w:p w14:paraId="1D4F64F6" w14:textId="401BC59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demand or petition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may be served upon a person who is not found within this State in a manner as the Rules of Civil Procedure and applicable statutory law prescribe for service of process outside this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14:paraId="09E0EA77" w14:textId="48B9F0F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Service of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of a petition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may be made upon a partnership, corporation, association, or other legal entity by:</w:t>
      </w:r>
    </w:p>
    <w:p w14:paraId="148F9A7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14:paraId="6424B84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FBDF30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14:paraId="652123B7" w14:textId="563B47C6"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(C)</w:t>
      </w:r>
      <w:r w:rsidRPr="006535B8">
        <w:rPr>
          <w:rFonts w:eastAsia="Times New Roman"/>
          <w:snapToGrid w:val="0"/>
          <w:color w:val="000000" w:themeColor="text1"/>
          <w:szCs w:val="20"/>
          <w:u w:color="000000" w:themeColor="text1"/>
        </w:rPr>
        <w:tab/>
        <w:t>Service of a demand or petition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may be made on a natural person by:</w:t>
      </w:r>
    </w:p>
    <w:p w14:paraId="43640B1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00AECAA"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14:paraId="6E261823" w14:textId="2B5051C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A verified return by the individual serving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a petition filed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 providing the manner of service is proof of service.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service by registered or certified mail, the return is accompanied by the return post office receipt of delivery of the demand.</w:t>
      </w:r>
    </w:p>
    <w:p w14:paraId="4678E39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6BFC87C" w14:textId="4CF18E92"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7</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production of documentary material in response to a civil investigative demand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must be made under a sworn certificate, in a form as the demand designates, by:</w:t>
      </w:r>
    </w:p>
    <w:p w14:paraId="267B1278"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5A803BC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14:paraId="0481B48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14:paraId="7EF88A11" w14:textId="061CE019"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0(A).</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material must be made available on the return date specified in the demand, or on a later date as the investigator may prescribe in writing.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upon written agreement between the person and the investigator, may substitute copies for originals of all or any part of the material.</w:t>
      </w:r>
    </w:p>
    <w:p w14:paraId="1FD5B04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3D76DAD" w14:textId="27D2230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8</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Each interrogatory in a civil investigative demand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must be answered separately and fully in writing under oath and must be submitted under a sworn certificate, in a form as the demand designates by:</w:t>
      </w:r>
    </w:p>
    <w:p w14:paraId="5A976B4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DFC408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14:paraId="5145BB1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If an interrogatory is objected to,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reasons for the objection must be stated in the certificate instead of an answer.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certificate must state that all information required by the demand and in the possession, custody, control, or knowledge of the person to whom the demand is directed has been submitted.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information is not furnished, the information must be identified and reasons provided with particularity regarding the reasons why the information was not furnished.</w:t>
      </w:r>
    </w:p>
    <w:p w14:paraId="7B28297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4ECBA394" w14:textId="5835178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9</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must be taken before an officer authorized to administer oaths and affirmations by the laws of the State or of the place where the examination is held.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officer before whom the testimony is to be taken shall put the witness under oath or affirmation and, personally or by someone acting under the direction of the officer and in the officer’s presence, shall record the testimony of the witness.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testimony must be taken stenographically and must be transcribed.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testimony is fully transcribed, the officer before whom the testimony is taken shall promptly transmit a copy of the transcript of the testimony to the custodian.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subsection does not preclude the taking of testimony by another means authorized by, and in a manner consistent with, the Rules of Civil Procedure or other applicable statutory law.</w:t>
      </w:r>
    </w:p>
    <w:p w14:paraId="754F4D9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 the person giving the testimony, the officer before whom the testimony is to be taken, and a stenographer taking the testimony.</w:t>
      </w:r>
    </w:p>
    <w:p w14:paraId="7E60781D" w14:textId="36DD6519"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oral testimony of a person taken pursuant to a civil investigative demand served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 xml:space="preserve">0 must be </w:t>
      </w:r>
      <w:r w:rsidRPr="006535B8">
        <w:rPr>
          <w:rFonts w:eastAsia="Times New Roman"/>
          <w:snapToGrid w:val="0"/>
          <w:color w:val="000000" w:themeColor="text1"/>
          <w:szCs w:val="20"/>
          <w:u w:color="000000" w:themeColor="text1"/>
        </w:rPr>
        <w:lastRenderedPageBreak/>
        <w:t>taken in the county within which the person resides, is found, or transacts business, or in another place as may be agreed upon by the investigator conducting the examination and the person.</w:t>
      </w:r>
    </w:p>
    <w:p w14:paraId="55ECDDD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Changes in form or substance which the witness desires to make must be entered and identified upon the transcript by the officer or the investigator, with a statement of the reasons given by the witness for making the changes.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transcript must then be signed by the witness, unless the witness in writing waives the signing, is ill, cannot be found, or refuses to sign.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If the transcript is not signed by the witness within thirty days after being afforded a reasonable opportunity to examine it, </w:t>
      </w:r>
      <w:r w:rsidR="001814A4">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the officer or investigator shall sign it and state on the record the fact of the waiver, illness, absence of the witness, or the refusal to sign, together with the reasons given.</w:t>
      </w:r>
    </w:p>
    <w:p w14:paraId="7B07F4F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14:paraId="7B4EBDB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14:paraId="16D00E3D" w14:textId="5F8AF64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may be accompanied, represented, and advised by counsel.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Counsel may advise the person, in confidence, with respect to a question asked of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or counsel may object on the record to a question, in whole or in part, and shall briefly state for the record the reason for the objection.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objection may be made, received, and entered upon the record when it is claimed that the person is entitled to refuse to answer the question on the grounds of a constitutional or other legal right or privilege, including the privilege against self</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incrimination.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refuses to answer a question,</w:t>
      </w:r>
      <w:r w:rsidR="002710BE">
        <w:rPr>
          <w:rFonts w:eastAsia="Times New Roman"/>
          <w:snapToGrid w:val="0"/>
          <w:color w:val="000000" w:themeColor="text1"/>
          <w:szCs w:val="20"/>
          <w:u w:color="000000" w:themeColor="text1"/>
        </w:rPr>
        <w:t xml:space="preserve"> then</w:t>
      </w:r>
      <w:r w:rsidRPr="006535B8">
        <w:rPr>
          <w:rFonts w:eastAsia="Times New Roman"/>
          <w:snapToGrid w:val="0"/>
          <w:color w:val="000000" w:themeColor="text1"/>
          <w:szCs w:val="20"/>
          <w:u w:color="000000" w:themeColor="text1"/>
        </w:rPr>
        <w:t xml:space="preserve"> a petition may be filed in circuit court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0(A) for an order compelling the person to answer the question.</w:t>
      </w:r>
    </w:p>
    <w:p w14:paraId="46BEF308" w14:textId="49AF36E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A person appearing for oral testimony pursuant to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 xml:space="preserve">0 is entitled </w:t>
      </w:r>
      <w:r w:rsidRPr="006535B8">
        <w:rPr>
          <w:rFonts w:eastAsia="Times New Roman"/>
          <w:snapToGrid w:val="0"/>
          <w:color w:val="000000" w:themeColor="text1"/>
          <w:szCs w:val="20"/>
          <w:u w:color="000000" w:themeColor="text1"/>
        </w:rPr>
        <w:lastRenderedPageBreak/>
        <w:t>to the same fees and allowances which are paid to witnesses in the circuit court.</w:t>
      </w:r>
    </w:p>
    <w:p w14:paraId="267E4E94"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569940FB" w14:textId="7791F468"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14:paraId="505EC66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Except as otherwise provided in this section, no documentary material, answers to interrogatories, or transcripts of oral testimony, or copies of these, while in the possession of the custodian, are available for examination.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w:t>
      </w:r>
      <w:r>
        <w:rPr>
          <w:rFonts w:eastAsia="Times New Roman"/>
          <w:snapToGrid w:val="0"/>
          <w:color w:val="000000" w:themeColor="text1"/>
          <w:szCs w:val="20"/>
          <w:u w:color="000000" w:themeColor="text1"/>
        </w:rPr>
        <w:t>tive entity of another state.</w:t>
      </w:r>
    </w:p>
    <w:p w14:paraId="5EED7857"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14:paraId="572E7A2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2D11B849"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14:paraId="1BD79B3E"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96B6161" w14:textId="7A6A0474"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 a person fails to comply with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14:paraId="6783A77E" w14:textId="05BDD63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(B)</w:t>
      </w:r>
      <w:r w:rsidRPr="006535B8">
        <w:rPr>
          <w:rFonts w:eastAsia="Times New Roman"/>
          <w:snapToGrid w:val="0"/>
          <w:color w:val="000000" w:themeColor="text1"/>
          <w:szCs w:val="20"/>
          <w:u w:color="000000" w:themeColor="text1"/>
        </w:rPr>
        <w:tab/>
        <w:t>A person who has received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may file, in the circuit court of a county within which the person resides, is found, or transacts business, and serve upon the investigator identified in the demand a petition for an order of the court to modify or set aside the demand.</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a petition addressed to an express demand for a product of discovery, a petition to modify or set aside the demand may be brought only in the circuit court of the county in which the proceeding in which discovery was obtained or was last pending.</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40BD842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4182F3C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57CE001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14:paraId="14E5548F" w14:textId="639F4DB2"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the case of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3CE9B742"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D28397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3B325A6F"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 xml:space="preserve">The petition shall specify each ground upon which the petitioner relies in seeking relief upon subsection (D) and may be based upon failure of the portions of the demand from which relief is sought to comply with the provisions of this section or upon a </w:t>
      </w:r>
      <w:r w:rsidRPr="006535B8">
        <w:rPr>
          <w:rFonts w:eastAsia="Times New Roman"/>
          <w:snapToGrid w:val="0"/>
          <w:color w:val="000000" w:themeColor="text1"/>
          <w:szCs w:val="20"/>
          <w:u w:color="000000" w:themeColor="text1"/>
        </w:rPr>
        <w:lastRenderedPageBreak/>
        <w:t>constitutional or other legal right or privilege of the petitioner.</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the court may stay, as it deems proper, compliance with the demand and the running of the time allowed from compliance with the demand.</w:t>
      </w:r>
    </w:p>
    <w:p w14:paraId="15C42F11" w14:textId="7F734535"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14:paraId="224E5161"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final order entered is subject to appeal in the same manner as appeals of other final orders in civil matters.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disobedience of a final order entered pursuant to this section by a court is punishable as contempt of court.</w:t>
      </w:r>
    </w:p>
    <w:p w14:paraId="3194C48A" w14:textId="24841831"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0 is exempt from disclosure under the South Carolina Administrative Procedures Act.</w:t>
      </w:r>
    </w:p>
    <w:p w14:paraId="3344B4D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DDAFD6A" w14:textId="5DA86E7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There is created the State False Claims Act Investigation and Prosecution Fund as a special fund in the state treasury, to be administered by the Attorney General.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proceeds of an action or settlement of a claim brought pursuant to this chapter must be deposited in the fund, except that in cases involving Medicaid, the proceeds deposited will be after repayment of the federal share.</w:t>
      </w:r>
    </w:p>
    <w:p w14:paraId="0538ACC5" w14:textId="23A11A2F"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001814A4">
        <w:rPr>
          <w:rFonts w:eastAsia="Times New Roman"/>
          <w:snapToGrid w:val="0"/>
          <w:color w:val="000000" w:themeColor="text1"/>
          <w:szCs w:val="20"/>
          <w:u w:color="000000" w:themeColor="text1"/>
        </w:rPr>
        <w:t>(1)</w:t>
      </w:r>
      <w:r w:rsidRPr="006535B8">
        <w:rPr>
          <w:rFonts w:eastAsia="Times New Roman"/>
          <w:snapToGrid w:val="0"/>
          <w:color w:val="000000" w:themeColor="text1"/>
          <w:szCs w:val="20"/>
          <w:u w:color="000000" w:themeColor="text1"/>
        </w:rPr>
        <w:tab/>
        <w:t>Monies in the fund must be allocated as follows:</w:t>
      </w:r>
    </w:p>
    <w:p w14:paraId="6A48AC59" w14:textId="22B6051E"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001814A4">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a</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of the monies must be retained by the Attorney General;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0108C7AD" w14:textId="34067070"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001814A4">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the remaining seventy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of the monies in the fund must be used for payment of awards, calculated on the full amount, to qui tam plaintiffs, as provided in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0(D), and to persons who report, in good faith, a violation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 pursuant to the provisions of 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0.</w:t>
      </w:r>
    </w:p>
    <w:p w14:paraId="48E0D632" w14:textId="245F5512"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1814A4">
        <w:rPr>
          <w:rFonts w:eastAsia="Times New Roman"/>
          <w:snapToGrid w:val="0"/>
          <w:color w:val="000000" w:themeColor="text1"/>
          <w:szCs w:val="20"/>
          <w:u w:color="000000" w:themeColor="text1"/>
        </w:rPr>
        <w:t>2</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 xml:space="preserve">Except in cases involving Medicaid, the proceeds deposited in the fund shall be allocated first for payment of awards </w:t>
      </w:r>
      <w:r w:rsidRPr="006535B8">
        <w:rPr>
          <w:rFonts w:eastAsia="Times New Roman"/>
          <w:snapToGrid w:val="0"/>
          <w:color w:val="000000" w:themeColor="text1"/>
          <w:szCs w:val="20"/>
          <w:u w:color="000000" w:themeColor="text1"/>
        </w:rPr>
        <w:lastRenderedPageBreak/>
        <w:t>to the qui tam plaintiff, then any remaining monies shall be allocated twenty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to the Attorney General and seventy</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five percent to South Carolina Medicaid.</w:t>
      </w:r>
    </w:p>
    <w:p w14:paraId="7486054B"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Attorney General shall make disbursements of funds as provided in court orders setting awards, fees, and expenses.</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Attorney General shall transfer fund balances in excess of those required to the General Fund; however, fund balances related to the South Carolina Medicaid Program shall be transferred to the Department of Health and Human Services.</w:t>
      </w:r>
    </w:p>
    <w:p w14:paraId="5485FE56"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37B1F41" w14:textId="1942F92F"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85</w:t>
      </w:r>
      <w:r w:rsidR="008069CD">
        <w:rPr>
          <w:rFonts w:eastAsia="Times New Roman"/>
          <w:snapToGrid w:val="0"/>
          <w:color w:val="000000" w:themeColor="text1"/>
          <w:szCs w:val="20"/>
          <w:u w:color="000000" w:themeColor="text1"/>
        </w:rPr>
        <w:noBreakHyphen/>
      </w:r>
      <w:r w:rsidRPr="006535B8">
        <w:rPr>
          <w:rFonts w:eastAsia="Times New Roman"/>
          <w:snapToGrid w:val="0"/>
          <w:color w:val="000000" w:themeColor="text1"/>
          <w:szCs w:val="20"/>
          <w:u w:color="000000" w:themeColor="text1"/>
        </w:rPr>
        <w:t>1</w:t>
      </w:r>
      <w:r w:rsidR="006A09F6">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0.</w:t>
      </w:r>
      <w:r w:rsidRPr="006535B8">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14:paraId="156ADDAD"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FC70040" w14:textId="3D0ED5CB"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r>
      <w:r w:rsidR="00E967D0">
        <w:rPr>
          <w:rFonts w:eastAsia="Times New Roman"/>
          <w:snapToGrid w:val="0"/>
          <w:color w:val="000000" w:themeColor="text1"/>
          <w:szCs w:val="20"/>
          <w:u w:color="000000" w:themeColor="text1"/>
        </w:rPr>
        <w:t>3</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The repeal or amendment by this act of any law, whether temporary or permanent</w:t>
      </w:r>
      <w:r w:rsidR="006A09F6">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0617F40" w14:textId="77777777" w:rsidR="00C10673" w:rsidRPr="006535B8"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475B9896" w14:textId="7D2C969F"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r>
      <w:r w:rsidR="00E967D0">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 xml:space="preserve">If any section, subsection, item, subitem, paragraph, subparagraph, sentence, clause, phrase, or word of this act is for any reason held to be unconstitutional or invalid, </w:t>
      </w:r>
      <w:r w:rsidR="006A09F6">
        <w:rPr>
          <w:rFonts w:eastAsia="Times New Roman"/>
          <w:snapToGrid w:val="0"/>
          <w:color w:val="000000" w:themeColor="text1"/>
          <w:szCs w:val="20"/>
          <w:u w:color="000000" w:themeColor="text1"/>
        </w:rPr>
        <w:t xml:space="preserve">then </w:t>
      </w:r>
      <w:r w:rsidRPr="006535B8">
        <w:rPr>
          <w:rFonts w:eastAsia="Times New Roman"/>
          <w:snapToGrid w:val="0"/>
          <w:color w:val="000000" w:themeColor="text1"/>
          <w:szCs w:val="20"/>
          <w:u w:color="000000" w:themeColor="text1"/>
        </w:rPr>
        <w:t>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14:paraId="1FF98045" w14:textId="77777777" w:rsidR="00C10673"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A9F5F" w14:textId="329B55B6" w:rsidR="00C10673" w:rsidRPr="00522CE0" w:rsidRDefault="00C10673" w:rsidP="00C1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67D0">
        <w:rPr>
          <w:rFonts w:eastAsia="Times New Roman"/>
        </w:rPr>
        <w:t>5</w:t>
      </w:r>
      <w:r>
        <w:rPr>
          <w:rFonts w:eastAsia="Times New Roman"/>
        </w:rPr>
        <w:t>.</w:t>
      </w:r>
      <w:r>
        <w:rPr>
          <w:rFonts w:eastAsia="Times New Roman"/>
        </w:rPr>
        <w:tab/>
        <w:t>This act takes effect upon approval by the Governor.</w:t>
      </w:r>
    </w:p>
    <w:p w14:paraId="2033E7CD" w14:textId="39CA04A4" w:rsidR="002D7063" w:rsidRDefault="008069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239BC34" w14:textId="77777777" w:rsidR="00D16E74" w:rsidRDefault="00D16E74" w:rsidP="00D16E74">
      <w:pPr>
        <w:suppressAutoHyphens/>
        <w:jc w:val="both"/>
        <w:rPr>
          <w:rFonts w:eastAsia="Times New Roman"/>
        </w:rPr>
      </w:pPr>
    </w:p>
    <w:sectPr w:rsidR="00D16E74" w:rsidSect="00D16E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DDBAF" w14:textId="77777777" w:rsidR="001814A4" w:rsidRDefault="001814A4" w:rsidP="00522CE0">
      <w:r>
        <w:separator/>
      </w:r>
    </w:p>
  </w:endnote>
  <w:endnote w:type="continuationSeparator" w:id="0">
    <w:p w14:paraId="486C9031" w14:textId="77777777" w:rsidR="001814A4" w:rsidRDefault="001814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5E3615-6052-46F6-B3BD-41DA78A5E109}"/>
    <w:embedBold r:id="rId2" w:fontKey="{17F1D4E8-8BA3-4A5C-9469-C9048CD6BDEA}"/>
  </w:font>
  <w:font w:name="Calibri">
    <w:panose1 w:val="020F0502020204030204"/>
    <w:charset w:val="00"/>
    <w:family w:val="swiss"/>
    <w:pitch w:val="variable"/>
    <w:sig w:usb0="E4002EFF" w:usb1="C000247B" w:usb2="00000009" w:usb3="00000000" w:csb0="000001FF" w:csb1="00000000"/>
    <w:embedRegular r:id="rId3" w:fontKey="{F195EF4F-30FF-4A00-A3B8-1FC567EF229C}"/>
    <w:embedBold r:id="rId4" w:fontKey="{01112C3C-FFA7-4883-944B-722E1F9A8740}"/>
  </w:font>
  <w:font w:name="Segoe UI">
    <w:panose1 w:val="020B0502040204020203"/>
    <w:charset w:val="00"/>
    <w:family w:val="swiss"/>
    <w:pitch w:val="variable"/>
    <w:sig w:usb0="E4002EFF" w:usb1="C000E47F" w:usb2="00000009" w:usb3="00000000" w:csb0="000001FF" w:csb1="00000000"/>
    <w:embedRegular r:id="rId5" w:fontKey="{F8940E61-0F6A-473F-9CDB-A9CCF0BBBBF6}"/>
  </w:font>
  <w:font w:name="Cambria">
    <w:panose1 w:val="02040503050406030204"/>
    <w:charset w:val="00"/>
    <w:family w:val="roman"/>
    <w:pitch w:val="variable"/>
    <w:sig w:usb0="E00006FF" w:usb1="420024FF" w:usb2="02000000" w:usb3="00000000" w:csb0="0000019F" w:csb1="00000000"/>
    <w:embedRegular r:id="rId6" w:fontKey="{E933E01D-C737-42DD-9382-6FDD589327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32FF4" w14:textId="266CA531" w:rsidR="002D7063" w:rsidRPr="00D16E74" w:rsidRDefault="00D16E74" w:rsidP="00D16E74">
    <w:pPr>
      <w:pStyle w:val="Footer"/>
      <w:tabs>
        <w:tab w:val="clear" w:pos="4680"/>
        <w:tab w:val="clear" w:pos="9360"/>
        <w:tab w:val="center" w:pos="2995"/>
      </w:tabs>
      <w:spacing w:before="120"/>
    </w:pPr>
    <w:r>
      <w:t>[80]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C36DE" w14:textId="77777777" w:rsidR="001814A4" w:rsidRDefault="001814A4" w:rsidP="00522CE0">
      <w:r>
        <w:separator/>
      </w:r>
    </w:p>
  </w:footnote>
  <w:footnote w:type="continuationSeparator" w:id="0">
    <w:p w14:paraId="267365F6" w14:textId="77777777" w:rsidR="001814A4" w:rsidRDefault="001814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FALS.KMM.GM"/>
    <w:docVar w:name="CoverAttorneyInitials" w:val="KMM"/>
    <w:docVar w:name="CoverAttorneyLastName" w:val="Moffitt"/>
    <w:docVar w:name="CoverBillType" w:val="b"/>
    <w:docVar w:name="CoverSenator" w:val="GM"/>
    <w:docVar w:name="dvBillNumber" w:val="80"/>
    <w:docVar w:name="dvBillNumberPrefix" w:val="S. "/>
    <w:docVar w:name="dvOriginalBody" w:val="Senate"/>
    <w:docVar w:name="fulldraftpath" w:val="L:\S-RES\GM\047FALS.KMM.GM.DOCX"/>
    <w:docVar w:name="NameofBody" w:val="S"/>
    <w:docVar w:name="vgroup2" w:val="S-RES"/>
  </w:docVars>
  <w:rsids>
    <w:rsidRoot w:val="003B33B3"/>
    <w:rsid w:val="00042AC1"/>
    <w:rsid w:val="00046516"/>
    <w:rsid w:val="00072458"/>
    <w:rsid w:val="0007601D"/>
    <w:rsid w:val="000A377E"/>
    <w:rsid w:val="000B0720"/>
    <w:rsid w:val="000B5EAF"/>
    <w:rsid w:val="001315B2"/>
    <w:rsid w:val="00170561"/>
    <w:rsid w:val="00174988"/>
    <w:rsid w:val="001814A4"/>
    <w:rsid w:val="00186AC9"/>
    <w:rsid w:val="00197DF1"/>
    <w:rsid w:val="001B3DD9"/>
    <w:rsid w:val="001B7E5D"/>
    <w:rsid w:val="001D20C4"/>
    <w:rsid w:val="001D3BAC"/>
    <w:rsid w:val="00216025"/>
    <w:rsid w:val="00245C4E"/>
    <w:rsid w:val="002710BE"/>
    <w:rsid w:val="002C1321"/>
    <w:rsid w:val="002C2031"/>
    <w:rsid w:val="002C5896"/>
    <w:rsid w:val="002D3BED"/>
    <w:rsid w:val="002D4BCD"/>
    <w:rsid w:val="002D7063"/>
    <w:rsid w:val="00307C2B"/>
    <w:rsid w:val="00315D04"/>
    <w:rsid w:val="00383247"/>
    <w:rsid w:val="003B33B3"/>
    <w:rsid w:val="003D6E2B"/>
    <w:rsid w:val="003E7597"/>
    <w:rsid w:val="00413EBF"/>
    <w:rsid w:val="0044020F"/>
    <w:rsid w:val="00450668"/>
    <w:rsid w:val="00454138"/>
    <w:rsid w:val="00463DA3"/>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09F6"/>
    <w:rsid w:val="006A1802"/>
    <w:rsid w:val="006C0CBB"/>
    <w:rsid w:val="006C74EA"/>
    <w:rsid w:val="006F56CF"/>
    <w:rsid w:val="00720D40"/>
    <w:rsid w:val="007318D4"/>
    <w:rsid w:val="00765784"/>
    <w:rsid w:val="007A4390"/>
    <w:rsid w:val="007E5CB7"/>
    <w:rsid w:val="008069CD"/>
    <w:rsid w:val="008314D2"/>
    <w:rsid w:val="00870F6F"/>
    <w:rsid w:val="008815CB"/>
    <w:rsid w:val="008B2F42"/>
    <w:rsid w:val="008C3697"/>
    <w:rsid w:val="008E185F"/>
    <w:rsid w:val="008F023B"/>
    <w:rsid w:val="00904E16"/>
    <w:rsid w:val="009162B3"/>
    <w:rsid w:val="00927C62"/>
    <w:rsid w:val="00983951"/>
    <w:rsid w:val="00984124"/>
    <w:rsid w:val="00984640"/>
    <w:rsid w:val="00995C37"/>
    <w:rsid w:val="009965A0"/>
    <w:rsid w:val="009C118A"/>
    <w:rsid w:val="00A02011"/>
    <w:rsid w:val="00A4011E"/>
    <w:rsid w:val="00A86015"/>
    <w:rsid w:val="00A9594E"/>
    <w:rsid w:val="00AE59C8"/>
    <w:rsid w:val="00B10098"/>
    <w:rsid w:val="00B5790D"/>
    <w:rsid w:val="00B945C5"/>
    <w:rsid w:val="00BA20EA"/>
    <w:rsid w:val="00BB5AFC"/>
    <w:rsid w:val="00BC026E"/>
    <w:rsid w:val="00BC0A56"/>
    <w:rsid w:val="00C10673"/>
    <w:rsid w:val="00C45366"/>
    <w:rsid w:val="00C57023"/>
    <w:rsid w:val="00C74052"/>
    <w:rsid w:val="00CB187A"/>
    <w:rsid w:val="00CC0EC7"/>
    <w:rsid w:val="00CC251A"/>
    <w:rsid w:val="00CF2C98"/>
    <w:rsid w:val="00D1088B"/>
    <w:rsid w:val="00D1286F"/>
    <w:rsid w:val="00D14DE6"/>
    <w:rsid w:val="00D156D2"/>
    <w:rsid w:val="00D16E74"/>
    <w:rsid w:val="00D35486"/>
    <w:rsid w:val="00D53E29"/>
    <w:rsid w:val="00D86943"/>
    <w:rsid w:val="00DA3C6B"/>
    <w:rsid w:val="00DA47B9"/>
    <w:rsid w:val="00DE5635"/>
    <w:rsid w:val="00E058D3"/>
    <w:rsid w:val="00E12CA0"/>
    <w:rsid w:val="00E2236D"/>
    <w:rsid w:val="00E76AD9"/>
    <w:rsid w:val="00E86EE2"/>
    <w:rsid w:val="00E91E2F"/>
    <w:rsid w:val="00E967D0"/>
    <w:rsid w:val="00EA3546"/>
    <w:rsid w:val="00EB47AE"/>
    <w:rsid w:val="00EC34E1"/>
    <w:rsid w:val="00F0234A"/>
    <w:rsid w:val="00F05CF2"/>
    <w:rsid w:val="00F31107"/>
    <w:rsid w:val="00F51241"/>
    <w:rsid w:val="00F52959"/>
    <w:rsid w:val="00F55884"/>
    <w:rsid w:val="00FB7F01"/>
    <w:rsid w:val="00FC0D36"/>
    <w:rsid w:val="00FC3A2B"/>
    <w:rsid w:val="00FC45D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B68F54"/>
  <w15:docId w15:val="{370FA28F-B980-4D9F-BEAD-9DD1BE57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09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9F6"/>
    <w:rPr>
      <w:rFonts w:ascii="Segoe UI" w:hAnsi="Segoe UI" w:cs="Segoe UI"/>
      <w:sz w:val="18"/>
      <w:szCs w:val="18"/>
    </w:rPr>
  </w:style>
  <w:style w:type="character" w:styleId="CommentReference">
    <w:name w:val="annotation reference"/>
    <w:basedOn w:val="DefaultParagraphFont"/>
    <w:uiPriority w:val="99"/>
    <w:semiHidden/>
    <w:unhideWhenUsed/>
    <w:rsid w:val="000A377E"/>
    <w:rPr>
      <w:sz w:val="16"/>
      <w:szCs w:val="16"/>
    </w:rPr>
  </w:style>
  <w:style w:type="paragraph" w:styleId="CommentText">
    <w:name w:val="annotation text"/>
    <w:basedOn w:val="Normal"/>
    <w:link w:val="CommentTextChar"/>
    <w:uiPriority w:val="99"/>
    <w:semiHidden/>
    <w:unhideWhenUsed/>
    <w:rsid w:val="000A377E"/>
    <w:rPr>
      <w:sz w:val="20"/>
      <w:szCs w:val="20"/>
    </w:rPr>
  </w:style>
  <w:style w:type="character" w:customStyle="1" w:styleId="CommentTextChar">
    <w:name w:val="Comment Text Char"/>
    <w:basedOn w:val="DefaultParagraphFont"/>
    <w:link w:val="CommentText"/>
    <w:uiPriority w:val="99"/>
    <w:semiHidden/>
    <w:rsid w:val="000A377E"/>
    <w:rPr>
      <w:sz w:val="20"/>
      <w:szCs w:val="20"/>
    </w:rPr>
  </w:style>
  <w:style w:type="paragraph" w:styleId="CommentSubject">
    <w:name w:val="annotation subject"/>
    <w:basedOn w:val="CommentText"/>
    <w:next w:val="CommentText"/>
    <w:link w:val="CommentSubjectChar"/>
    <w:uiPriority w:val="99"/>
    <w:semiHidden/>
    <w:unhideWhenUsed/>
    <w:rsid w:val="000A377E"/>
    <w:rPr>
      <w:b/>
      <w:bCs/>
    </w:rPr>
  </w:style>
  <w:style w:type="character" w:customStyle="1" w:styleId="CommentSubjectChar">
    <w:name w:val="Comment Subject Char"/>
    <w:basedOn w:val="CommentTextChar"/>
    <w:link w:val="CommentSubject"/>
    <w:uiPriority w:val="99"/>
    <w:semiHidden/>
    <w:rsid w:val="000A37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7947</Words>
  <Characters>40023</Characters>
  <Application>Microsoft Office Word</Application>
  <DocSecurity>0</DocSecurity>
  <Lines>852</Lines>
  <Paragraphs>175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 Text of Previous Version (Dec. 9, 2020) - South Carolina Legislature Online</dc:title>
  <dc:subject/>
  <dc:creator>Ken Moffitt</dc:creator>
  <cp:keywords/>
  <dc:description/>
  <cp:lastModifiedBy>Sade Wilson</cp:lastModifiedBy>
  <cp:revision>2</cp:revision>
  <dcterms:created xsi:type="dcterms:W3CDTF">2020-12-12T06:15:00Z</dcterms:created>
  <dcterms:modified xsi:type="dcterms:W3CDTF">2020-12-12T06:15:00Z</dcterms:modified>
</cp:coreProperties>
</file>