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D81"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6310" w:rsidRP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6310" w:rsidRDefault="00EB6310" w:rsidP="00E56A0F">
      <w:pPr>
        <w:tabs>
          <w:tab w:val="right" w:pos="5933"/>
        </w:tabs>
        <w:suppressAutoHyphens/>
      </w:pPr>
      <w:r>
        <w:t>April 28, 2022</w:t>
      </w:r>
    </w:p>
    <w:p w:rsidR="00E56A0F" w:rsidRDefault="00E56A0F"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Pr="00E56A0F" w:rsidRDefault="00E56A0F" w:rsidP="00E56A0F">
      <w:pPr>
        <w:tabs>
          <w:tab w:val="right" w:pos="5933"/>
        </w:tabs>
        <w:suppressAutoHyphens/>
      </w:pPr>
      <w:r>
        <w:tab/>
      </w:r>
      <w:r>
        <w:rPr>
          <w:b/>
          <w:sz w:val="36"/>
        </w:rPr>
        <w:t>S. 901</w:t>
      </w:r>
    </w:p>
    <w:p w:rsidR="00E56A0F" w:rsidRDefault="00E56A0F"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Verdin, Cromer, McElveen and Peeler</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Default="00EB6310" w:rsidP="008D24DB">
      <w:pPr>
        <w:tabs>
          <w:tab w:val="right" w:pos="5933"/>
        </w:tabs>
        <w:suppressAutoHyphens/>
      </w:pPr>
      <w:r>
        <w:t>S. Printed 4/28/22--H.</w:t>
      </w:r>
      <w:r w:rsidR="008D24DB">
        <w:tab/>
        <w:t>[SEC 5/2/22 11:02 AM]</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901) to amend Section 12</w:t>
      </w:r>
      <w:r>
        <w:noBreakHyphen/>
        <w:t>6</w:t>
      </w:r>
      <w:r>
        <w:noBreakHyphen/>
        <w:t>3775, Code of Laws of South Carolina, 1976, relating to income tax credits, so as to provide for an income tax credit, etc., respectfully</w:t>
      </w:r>
    </w:p>
    <w:p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Amend the bill, as and if amended, by adding appropriately numbered SECTIONS at the end to read:</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C7876">
        <w:t>/</w:t>
      </w:r>
      <w:r w:rsidRPr="001C7876">
        <w:tab/>
        <w:t>SECTION</w:t>
      </w:r>
      <w:r w:rsidRPr="001C7876">
        <w:tab/>
        <w:t>__.</w:t>
      </w:r>
      <w:r w:rsidRPr="001C7876">
        <w:tab/>
      </w:r>
      <w:r w:rsidRPr="001C7876">
        <w:rPr>
          <w:u w:color="000000" w:themeColor="text1"/>
        </w:rPr>
        <w:t>Section 12</w:t>
      </w:r>
      <w:r w:rsidRPr="001C7876">
        <w:rPr>
          <w:u w:color="000000" w:themeColor="text1"/>
        </w:rPr>
        <w:noBreakHyphen/>
        <w:t>36</w:t>
      </w:r>
      <w:r w:rsidRPr="001C7876">
        <w:rPr>
          <w:u w:color="000000" w:themeColor="text1"/>
        </w:rPr>
        <w:noBreakHyphen/>
        <w:t>2630(</w:t>
      </w:r>
      <w:bookmarkStart w:id="0" w:name="temp"/>
      <w:bookmarkEnd w:id="0"/>
      <w:r w:rsidRPr="001C7876">
        <w:rPr>
          <w:u w:color="000000" w:themeColor="text1"/>
        </w:rPr>
        <w:t>2) of the 1976 Code is amended to read:</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“(2)</w:t>
      </w:r>
      <w:r w:rsidRPr="001C7876">
        <w:rPr>
          <w:u w:color="000000" w:themeColor="text1"/>
        </w:rPr>
        <w:tab/>
        <w:t>a one percent tax, which must be credited as provided in Section 59</w:t>
      </w:r>
      <w:r w:rsidRPr="001C7876">
        <w:rPr>
          <w:u w:color="000000" w:themeColor="text1"/>
        </w:rPr>
        <w:noBreakHyphen/>
        <w:t>21</w:t>
      </w:r>
      <w:r w:rsidRPr="001C7876">
        <w:rPr>
          <w:u w:color="000000" w:themeColor="text1"/>
        </w:rPr>
        <w:noBreakHyphen/>
        <w:t xml:space="preserve">1010(B). The one percent tax specified in this item (2) does not apply to sales to an individual </w:t>
      </w:r>
      <w:r w:rsidRPr="001C7876">
        <w:rPr>
          <w:strike/>
          <w:u w:color="000000" w:themeColor="text1"/>
        </w:rPr>
        <w:t>eighty</w:t>
      </w:r>
      <w:r w:rsidRPr="001C7876">
        <w:rPr>
          <w:strike/>
          <w:u w:color="000000" w:themeColor="text1"/>
        </w:rPr>
        <w:noBreakHyphen/>
        <w:t>five</w:t>
      </w:r>
      <w:r w:rsidRPr="001C7876">
        <w:rPr>
          <w:u w:color="000000" w:themeColor="text1"/>
        </w:rPr>
        <w:t xml:space="preserve"> </w:t>
      </w:r>
      <w:r w:rsidRPr="001C7876">
        <w:rPr>
          <w:u w:val="single" w:color="000000" w:themeColor="text1"/>
        </w:rPr>
        <w:t>seventy-eight</w:t>
      </w:r>
      <w:r w:rsidRPr="001C7876">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SECTION</w:t>
      </w:r>
      <w:r w:rsidRPr="001C7876">
        <w:tab/>
        <w:t>__.</w:t>
      </w:r>
      <w:r w:rsidRPr="001C7876">
        <w:tab/>
        <w:t>Article 9, Chapter 36, Title 12 of the 1976 Code is amended by adding:</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tab/>
        <w:t>“Section 12-36-922.</w:t>
      </w:r>
      <w:r w:rsidRPr="001C7876">
        <w:tab/>
        <w:t>For each accommodations tax return filed with multiple locations, the filer also must provide electronically the location information by address and the amount of net taxable sales for each location.”</w:t>
      </w:r>
      <w:r w:rsidRPr="001C7876">
        <w:tab/>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SECTION</w:t>
      </w:r>
      <w:r w:rsidRPr="001C7876">
        <w:tab/>
        <w:t>__.A.</w:t>
      </w:r>
      <w:r w:rsidRPr="001C7876">
        <w:tab/>
      </w:r>
      <w:r w:rsidRPr="001C7876">
        <w:rPr>
          <w:u w:color="000000" w:themeColor="text1"/>
        </w:rPr>
        <w:t>Section 12</w:t>
      </w:r>
      <w:r w:rsidRPr="001C7876">
        <w:rPr>
          <w:u w:color="000000" w:themeColor="text1"/>
        </w:rPr>
        <w:noBreakHyphen/>
        <w:t>36</w:t>
      </w:r>
      <w:r w:rsidRPr="001C7876">
        <w:rPr>
          <w:u w:color="000000" w:themeColor="text1"/>
        </w:rPr>
        <w:noBreakHyphen/>
        <w:t>2110(A)(1)(d) of the 1976 Code is amended to read:</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rPr>
          <w:u w:color="000000" w:themeColor="text1"/>
        </w:rPr>
        <w:lastRenderedPageBreak/>
        <w:tab/>
        <w:t>“(d)</w:t>
      </w:r>
      <w:r w:rsidRPr="001C7876">
        <w:rPr>
          <w:u w:color="000000" w:themeColor="text1"/>
        </w:rPr>
        <w:tab/>
        <w:t>boat</w:t>
      </w:r>
      <w:r w:rsidRPr="001C7876">
        <w:t xml:space="preserve"> </w:t>
      </w:r>
      <w:r w:rsidRPr="001C7876">
        <w:rPr>
          <w:u w:val="single" w:color="000000" w:themeColor="text1"/>
        </w:rPr>
        <w:t>and watercraft motor</w:t>
      </w:r>
      <w:r w:rsidRPr="001C7876">
        <w:rPr>
          <w:u w:color="000000" w:themeColor="text1"/>
        </w:rPr>
        <w:t>;”</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876">
        <w:t>B.</w:t>
      </w:r>
      <w:r w:rsidRPr="001C7876">
        <w:tab/>
        <w:t xml:space="preserve">This SECTION takes effect upon approval by the Governor </w:t>
      </w:r>
      <w:r w:rsidRPr="001C7876">
        <w:rPr>
          <w:u w:color="000000" w:themeColor="text1"/>
        </w:rPr>
        <w:t>and first applies on July 1, 2022</w:t>
      </w:r>
      <w:r w:rsidRPr="001C7876">
        <w:t>.</w:t>
      </w:r>
      <w:r w:rsidRPr="001C7876">
        <w:tab/>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C7876">
        <w:t>SECTION</w:t>
      </w:r>
      <w:r w:rsidRPr="001C7876">
        <w:tab/>
        <w:t>__.</w:t>
      </w:r>
      <w:r w:rsidRPr="001C7876">
        <w:tab/>
      </w:r>
      <w:r w:rsidRPr="001C7876">
        <w:rPr>
          <w:u w:color="000000" w:themeColor="text1"/>
        </w:rPr>
        <w:t>Article 25, Chapter 6, Title 12 of the 1976 Code is amended by adding:</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“Section 12</w:t>
      </w:r>
      <w:r w:rsidRPr="001C7876">
        <w:rPr>
          <w:u w:color="000000" w:themeColor="text1"/>
        </w:rPr>
        <w:noBreakHyphen/>
        <w:t>6</w:t>
      </w:r>
      <w:r w:rsidRPr="001C7876">
        <w:rPr>
          <w:u w:color="000000" w:themeColor="text1"/>
        </w:rPr>
        <w:noBreakHyphen/>
        <w:t>3710.</w:t>
      </w:r>
      <w:r w:rsidRPr="001C7876">
        <w:rPr>
          <w:u w:color="000000" w:themeColor="text1"/>
        </w:rPr>
        <w:tab/>
        <w:t>(A)</w:t>
      </w:r>
      <w:r w:rsidRPr="001C7876">
        <w:rPr>
          <w:u w:color="000000" w:themeColor="text1"/>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(B)</w:t>
      </w:r>
      <w:r w:rsidRPr="001C7876">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(C)</w:t>
      </w:r>
      <w:r w:rsidRPr="001C7876">
        <w:rPr>
          <w:u w:color="000000" w:themeColor="text1"/>
        </w:rPr>
        <w:tab/>
        <w:t>The total amount of the tax credit for a taxable year may not exceed the taxpayer’s tax liability.  Any unused credit may not be carried over to apply to the taxpayer’s succeeding year’s liability.</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(D)(1)</w:t>
      </w:r>
      <w:r w:rsidRPr="001C7876">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(E)</w:t>
      </w:r>
      <w:r w:rsidRPr="001C7876">
        <w:rPr>
          <w:u w:color="000000" w:themeColor="text1"/>
        </w:rPr>
        <w:tab/>
        <w:t xml:space="preserve">Notwithstanding any other provision of this section, the credit allowed by this section only may be claimed if the formerly </w:t>
      </w:r>
      <w:r w:rsidRPr="001C7876">
        <w:rPr>
          <w:u w:color="000000" w:themeColor="text1"/>
        </w:rPr>
        <w:lastRenderedPageBreak/>
        <w:t xml:space="preserve">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(F)</w:t>
      </w:r>
      <w:r w:rsidRPr="001C7876">
        <w:rPr>
          <w:u w:color="000000" w:themeColor="text1"/>
        </w:rPr>
        <w:tab/>
        <w:t>The department may prescribe forms and promulgate regulations necessary to implement the provisions of this section, including requiring the necessary documentation to prove eligibility.</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(G)</w:t>
      </w:r>
      <w:r w:rsidRPr="001C7876">
        <w:rPr>
          <w:u w:color="000000" w:themeColor="text1"/>
        </w:rPr>
        <w:tab/>
        <w:t>Nothing in this section may be construed to allow an employer to claim this credit for a formerly incarcerated individual if the individual was hired before 2022.</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(H)</w:t>
      </w:r>
      <w:r w:rsidRPr="001C7876">
        <w:rPr>
          <w:u w:color="000000" w:themeColor="text1"/>
        </w:rPr>
        <w:tab/>
        <w:t>For purposes of this section:</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(1)</w:t>
      </w:r>
      <w:r w:rsidRPr="001C7876">
        <w:rPr>
          <w:u w:color="000000" w:themeColor="text1"/>
        </w:rPr>
        <w:tab/>
        <w:t>‘Full</w:t>
      </w:r>
      <w:r w:rsidRPr="001C7876">
        <w:rPr>
          <w:u w:color="000000" w:themeColor="text1"/>
        </w:rPr>
        <w:noBreakHyphen/>
        <w:t>time’ has the same meaning as provided in Section 12</w:t>
      </w:r>
      <w:r w:rsidRPr="001C7876">
        <w:rPr>
          <w:u w:color="000000" w:themeColor="text1"/>
        </w:rPr>
        <w:noBreakHyphen/>
        <w:t>6</w:t>
      </w:r>
      <w:r w:rsidRPr="001C7876">
        <w:rPr>
          <w:u w:color="000000" w:themeColor="text1"/>
        </w:rPr>
        <w:noBreakHyphen/>
        <w:t>3360.</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1C7876">
        <w:rPr>
          <w:u w:color="000000" w:themeColor="text1"/>
        </w:rPr>
        <w:noBreakHyphen/>
        <w:t>1</w:t>
      </w:r>
      <w:r w:rsidRPr="001C7876">
        <w:rPr>
          <w:u w:color="000000" w:themeColor="text1"/>
        </w:rPr>
        <w:noBreakHyphen/>
        <w:t>60, unless such individual received a pardon for the offense or unless the only disqualifying violent crime resulted in a sentence of ten years or less under Section 44</w:t>
      </w:r>
      <w:r w:rsidRPr="001C7876">
        <w:rPr>
          <w:u w:color="000000" w:themeColor="text1"/>
        </w:rPr>
        <w:noBreakHyphen/>
        <w:t>53</w:t>
      </w:r>
      <w:r w:rsidRPr="001C7876">
        <w:rPr>
          <w:u w:color="000000" w:themeColor="text1"/>
        </w:rPr>
        <w:noBreakHyphen/>
        <w:t>370(E) or Section 44</w:t>
      </w:r>
      <w:r w:rsidRPr="001C7876">
        <w:rPr>
          <w:u w:color="000000" w:themeColor="text1"/>
        </w:rPr>
        <w:noBreakHyphen/>
        <w:t>53</w:t>
      </w:r>
      <w:r w:rsidRPr="001C7876">
        <w:rPr>
          <w:u w:color="000000" w:themeColor="text1"/>
        </w:rPr>
        <w:noBreakHyphen/>
        <w:t>375(C).</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Section 12</w:t>
      </w:r>
      <w:r w:rsidRPr="001C7876">
        <w:rPr>
          <w:u w:color="000000" w:themeColor="text1"/>
        </w:rPr>
        <w:noBreakHyphen/>
        <w:t>6</w:t>
      </w:r>
      <w:r w:rsidRPr="001C7876">
        <w:rPr>
          <w:u w:color="000000" w:themeColor="text1"/>
        </w:rPr>
        <w:noBreakHyphen/>
        <w:t>3720.</w:t>
      </w:r>
      <w:r w:rsidRPr="001C7876">
        <w:rPr>
          <w:u w:color="000000" w:themeColor="text1"/>
        </w:rPr>
        <w:tab/>
        <w:t>(A)</w:t>
      </w:r>
      <w:r w:rsidRPr="001C7876">
        <w:rPr>
          <w:u w:color="000000" w:themeColor="text1"/>
        </w:rPr>
        <w:tab/>
        <w:t>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(B)</w:t>
      </w:r>
      <w:r w:rsidRPr="001C7876">
        <w:rPr>
          <w:u w:color="000000" w:themeColor="text1"/>
        </w:rPr>
        <w:tab/>
        <w:t xml:space="preserve">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w:t>
      </w:r>
      <w:r w:rsidRPr="001C7876">
        <w:rPr>
          <w:u w:color="000000" w:themeColor="text1"/>
        </w:rPr>
        <w:lastRenderedPageBreak/>
        <w:t>and insurance premium taxes imposed pursuant to Chapter 7, Title 38.</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(C)</w:t>
      </w:r>
      <w:r w:rsidRPr="001C7876">
        <w:rPr>
          <w:u w:color="000000" w:themeColor="text1"/>
        </w:rPr>
        <w:tab/>
        <w:t>The total amount of the tax credit for a taxable year may not exceed the taxpayer’s tax liability.  Any unused credit may not be carried over to apply to the taxpayer’s succeeding year’s liability.</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(D)(1)</w:t>
      </w:r>
      <w:r w:rsidRPr="001C7876">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(2)</w:t>
      </w:r>
      <w:r w:rsidRPr="001C7876">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(E)</w:t>
      </w:r>
      <w:r w:rsidRPr="001C7876">
        <w:rPr>
          <w:u w:color="000000" w:themeColor="text1"/>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is employed before 2027, then the employer may claim the credit for each year the individual is eligible and on the same schedule as provided in this section. </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(F)</w:t>
      </w:r>
      <w:r w:rsidRPr="001C7876">
        <w:rPr>
          <w:u w:color="000000" w:themeColor="text1"/>
        </w:rPr>
        <w:tab/>
        <w:t>The department may prescribe forms and promulgate regulations necessary to implement the provisions of this section, including requiring the necessary documentation to prove eligibility.</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(G)</w:t>
      </w:r>
      <w:r w:rsidRPr="001C7876">
        <w:rPr>
          <w:u w:color="000000" w:themeColor="text1"/>
        </w:rPr>
        <w:tab/>
        <w:t>Nothing in this section may be construed to allow an employer to claim this credit for a veteran if the veteran was hired before the effective date of this section.</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t>(H)</w:t>
      </w:r>
      <w:r w:rsidRPr="001C7876">
        <w:rPr>
          <w:u w:color="000000" w:themeColor="text1"/>
        </w:rPr>
        <w:tab/>
        <w:t>For purposes of this section:</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76">
        <w:rPr>
          <w:u w:color="000000" w:themeColor="text1"/>
        </w:rPr>
        <w:tab/>
      </w:r>
      <w:r w:rsidRPr="001C7876">
        <w:rPr>
          <w:u w:color="000000" w:themeColor="text1"/>
        </w:rPr>
        <w:tab/>
        <w:t>(1)</w:t>
      </w:r>
      <w:r w:rsidRPr="001C7876">
        <w:rPr>
          <w:u w:color="000000" w:themeColor="text1"/>
        </w:rPr>
        <w:tab/>
        <w:t>‘Full</w:t>
      </w:r>
      <w:r w:rsidRPr="001C7876">
        <w:rPr>
          <w:u w:color="000000" w:themeColor="text1"/>
        </w:rPr>
        <w:noBreakHyphen/>
        <w:t>time’ has the same meaning as provided in Section 12</w:t>
      </w:r>
      <w:r w:rsidRPr="001C7876">
        <w:rPr>
          <w:u w:color="000000" w:themeColor="text1"/>
        </w:rPr>
        <w:noBreakHyphen/>
        <w:t>6</w:t>
      </w:r>
      <w:r w:rsidRPr="001C7876">
        <w:rPr>
          <w:u w:color="000000" w:themeColor="text1"/>
        </w:rPr>
        <w:noBreakHyphen/>
        <w:t>3360.</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76">
        <w:rPr>
          <w:u w:color="000000" w:themeColor="text1"/>
        </w:rPr>
        <w:tab/>
      </w:r>
      <w:r w:rsidRPr="001C7876">
        <w:rPr>
          <w:u w:color="000000" w:themeColor="text1"/>
        </w:rPr>
        <w:tab/>
        <w:t>(2)</w:t>
      </w:r>
      <w:r w:rsidRPr="001C7876">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1C7876">
        <w:rPr>
          <w:u w:color="000000" w:themeColor="text1"/>
        </w:rPr>
        <w:noBreakHyphen/>
        <w:t>connected disability.”</w:t>
      </w:r>
      <w:r w:rsidRPr="001C7876">
        <w:tab/>
        <w:t>/</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C7876">
        <w:rPr>
          <w:szCs w:val="24"/>
        </w:rPr>
        <w:t>Renumber sections to conform.</w:t>
      </w:r>
    </w:p>
    <w:p w:rsid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1C7876">
        <w:rPr>
          <w:szCs w:val="24"/>
        </w:rPr>
        <w:t>Amend title to conform.</w:t>
      </w:r>
    </w:p>
    <w:p w:rsidR="00EB6310" w:rsidRPr="001C7876"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B6310" w:rsidRPr="00EB6310" w:rsidRDefault="00EB6310" w:rsidP="00EB6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10" w:rsidRDefault="00EB6310"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6310" w:rsidSect="00E77D8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F4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50464E">
        <w:tab/>
      </w:r>
      <w:r w:rsidRPr="00C62820">
        <w:rPr>
          <w:color w:val="000000" w:themeColor="text1"/>
          <w:u w:color="000000" w:themeColor="text1"/>
        </w:rPr>
        <w:t>A.</w:t>
      </w:r>
      <w:r w:rsidRPr="00C62820">
        <w:rPr>
          <w:color w:val="000000" w:themeColor="text1"/>
          <w:u w:color="000000" w:themeColor="text1"/>
        </w:rPr>
        <w:tab/>
      </w:r>
      <w:r w:rsidR="0050464E">
        <w:rPr>
          <w:color w:val="000000" w:themeColor="text1"/>
          <w:u w:color="000000" w:themeColor="text1"/>
        </w:rPr>
        <w:tab/>
      </w:r>
      <w:r w:rsidRPr="00C62820">
        <w:rPr>
          <w:color w:val="000000" w:themeColor="text1"/>
          <w:u w:color="000000" w:themeColor="text1"/>
        </w:rPr>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it existed on December 31, 2021, is reenacted retroactively, subject to the amendments contained in SECTION 2.</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000E13C8">
        <w:rPr>
          <w:color w:val="000000" w:themeColor="text1"/>
          <w:u w:color="000000" w:themeColor="text1"/>
        </w:rPr>
        <w:t xml:space="preserve"> </w:t>
      </w:r>
      <w:r w:rsidRPr="00C62820">
        <w:rPr>
          <w:color w:val="000000" w:themeColor="text1"/>
          <w:u w:color="000000" w:themeColor="text1"/>
        </w:rPr>
        <w:tab/>
        <w:t>This SECTION takes effect upon approval by the Governor and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C.</w:t>
      </w:r>
      <w:r w:rsidR="0050464E">
        <w:rPr>
          <w:color w:val="000000" w:themeColor="text1"/>
          <w:u w:color="000000" w:themeColor="text1"/>
        </w:rPr>
        <w:t xml:space="preserve"> </w:t>
      </w:r>
      <w:r w:rsidRPr="00C62820">
        <w:rPr>
          <w:color w:val="000000" w:themeColor="text1"/>
          <w:u w:color="000000" w:themeColor="text1"/>
        </w:rPr>
        <w:tab/>
        <w:t>Section 4</w:t>
      </w:r>
      <w:r w:rsidR="0050464E">
        <w:rPr>
          <w:color w:val="000000" w:themeColor="text1"/>
          <w:u w:color="000000" w:themeColor="text1"/>
        </w:rPr>
        <w:t xml:space="preserve"> </w:t>
      </w:r>
      <w:r w:rsidRPr="00C62820">
        <w:rPr>
          <w:color w:val="000000" w:themeColor="text1"/>
          <w:u w:color="000000" w:themeColor="text1"/>
        </w:rPr>
        <w:t>B</w:t>
      </w:r>
      <w:r w:rsidR="0050464E">
        <w:rPr>
          <w:color w:val="000000" w:themeColor="text1"/>
          <w:u w:color="000000" w:themeColor="text1"/>
        </w:rPr>
        <w:t>.</w:t>
      </w:r>
      <w:r w:rsidRPr="00C62820">
        <w:rPr>
          <w:color w:val="000000" w:themeColor="text1"/>
          <w:u w:color="000000" w:themeColor="text1"/>
        </w:rPr>
        <w:t xml:space="preserve"> of Act 77 of 2019 is repealed.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2.A.</w:t>
      </w: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of the 1976 Code is amended to read: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w:t>
      </w:r>
      <w:r w:rsidRPr="00C62820">
        <w:rPr>
          <w:color w:val="000000" w:themeColor="text1"/>
          <w:u w:color="000000" w:themeColor="text1"/>
        </w:rPr>
        <w:tab/>
        <w:t>(A)</w:t>
      </w:r>
      <w:r w:rsidRPr="00C62820">
        <w:rPr>
          <w:color w:val="000000" w:themeColor="text1"/>
          <w:u w:color="000000" w:themeColor="text1"/>
        </w:rPr>
        <w:tab/>
        <w:t xml:space="preserve">For the purposes of this section, </w:t>
      </w:r>
      <w:r w:rsidR="00BD5BDA">
        <w:rPr>
          <w:color w:val="000000" w:themeColor="text1"/>
          <w:u w:color="000000" w:themeColor="text1"/>
        </w:rPr>
        <w:t>‘</w:t>
      </w:r>
      <w:r w:rsidRPr="00C62820">
        <w:rPr>
          <w:color w:val="000000" w:themeColor="text1"/>
          <w:u w:color="000000" w:themeColor="text1"/>
        </w:rPr>
        <w:t>solar energy property</w:t>
      </w:r>
      <w:r w:rsidR="00BD5BDA">
        <w:rPr>
          <w:color w:val="000000" w:themeColor="text1"/>
          <w:u w:color="000000" w:themeColor="text1"/>
        </w:rPr>
        <w:t>’</w:t>
      </w:r>
      <w:r w:rsidRPr="00C62820">
        <w:rPr>
          <w:color w:val="000000" w:themeColor="text1"/>
          <w:u w:color="000000" w:themeColor="text1"/>
        </w:rPr>
        <w:t xml:space="preserve">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w:t>
      </w:r>
      <w:r w:rsidRPr="00C62820">
        <w:rPr>
          <w:color w:val="000000" w:themeColor="text1"/>
          <w:u w:color="000000" w:themeColor="text1"/>
        </w:rPr>
        <w:lastRenderedPageBreak/>
        <w:t>industrial or commercial process heat. The term also includes related devices necessary for collecting, storing, exchanging, conditioning, or converting solar energy to other useful forms of energy.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(a)</w:t>
      </w:r>
      <w:r w:rsidRPr="00C62820">
        <w:rPr>
          <w:color w:val="000000" w:themeColor="text1"/>
          <w:u w:color="000000" w:themeColor="text1"/>
        </w:rPr>
        <w:tab/>
        <w:t>the property is located 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w:t>
      </w:r>
      <w:r w:rsidR="000E13C8">
        <w:rPr>
          <w:color w:val="000000" w:themeColor="text1"/>
          <w:u w:color="000000" w:themeColor="text1"/>
        </w:rPr>
        <w:t xml:space="preserve"> </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 Equivalent Sites;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(iii)</w:t>
      </w:r>
      <w:r w:rsidRPr="00C62820">
        <w:rPr>
          <w:color w:val="000000" w:themeColor="text1"/>
          <w:u w:color="000000" w:themeColor="text1"/>
        </w:rPr>
        <w:tab/>
        <w:t>a list of related removal actions, as certified by the Department of Health and Environmental Control;</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(iv)</w:t>
      </w:r>
      <w:r w:rsidRPr="00C62820">
        <w:rPr>
          <w:color w:val="000000" w:themeColor="text1"/>
          <w:u w:color="000000" w:themeColor="text1"/>
        </w:rPr>
        <w:tab/>
        <w:t>land that is subject to a Voluntary Cleanup Contract with the Department of Health and Environmental Control as of December 31, 2017</w:t>
      </w:r>
      <w:r w:rsidR="004E75F3" w:rsidRPr="004E75F3">
        <w:rPr>
          <w:color w:val="000000" w:themeColor="text1"/>
          <w:u w:val="single" w:color="000000" w:themeColor="text1"/>
        </w:rPr>
        <w:t>,</w:t>
      </w:r>
      <w:r w:rsidRPr="00C62820">
        <w:rPr>
          <w:color w:val="000000" w:themeColor="text1"/>
          <w:u w:color="000000" w:themeColor="text1"/>
        </w:rPr>
        <w:t xml:space="preserve"> or to corrective action under the Federal Resource Conservation and Recovery Act of 1976; 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(v)</w:t>
      </w:r>
      <w:r w:rsidRPr="00C62820">
        <w:rPr>
          <w:color w:val="000000" w:themeColor="text1"/>
          <w:u w:color="000000" w:themeColor="text1"/>
        </w:rPr>
        <w:tab/>
        <w:t>land that is owned by the Pinewood Site Custodial Trust; and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(b)</w:t>
      </w:r>
      <w:r w:rsidRPr="00C62820">
        <w:rPr>
          <w:color w:val="000000" w:themeColor="text1"/>
          <w:u w:color="000000" w:themeColor="text1"/>
        </w:rPr>
        <w:tab/>
        <w:t>he places it in service in this State during the taxable year.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 xml:space="preserve">The credit is earned in the year in which the solar energy property is placed in service but must be taken in five equal annual installments, beginning </w:t>
      </w:r>
      <w:r w:rsidRPr="00C62820">
        <w:rPr>
          <w:strike/>
          <w:color w:val="000000" w:themeColor="text1"/>
          <w:u w:color="000000" w:themeColor="text1"/>
        </w:rPr>
        <w:t>in</w:t>
      </w:r>
      <w:r w:rsidRPr="00C62820">
        <w:rPr>
          <w:color w:val="000000" w:themeColor="text1"/>
          <w:u w:color="000000" w:themeColor="text1"/>
        </w:rPr>
        <w:t xml:space="preserve"> </w:t>
      </w:r>
      <w:r w:rsidRPr="00C62820">
        <w:rPr>
          <w:color w:val="000000" w:themeColor="text1"/>
          <w:u w:val="single" w:color="000000" w:themeColor="text1"/>
        </w:rPr>
        <w:t>within three years of</w:t>
      </w:r>
      <w:r w:rsidRPr="00C62820">
        <w:rPr>
          <w:color w:val="000000" w:themeColor="text1"/>
          <w:u w:color="000000" w:themeColor="text1"/>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w:t>
      </w:r>
      <w:r w:rsidR="004E75F3" w:rsidRPr="008D24DB">
        <w:rPr>
          <w:color w:val="000000" w:themeColor="text1"/>
        </w:rPr>
        <w:t>‘</w:t>
      </w:r>
      <w:r w:rsidRPr="00C62820">
        <w:rPr>
          <w:color w:val="000000" w:themeColor="text1"/>
          <w:u w:color="000000" w:themeColor="text1"/>
        </w:rPr>
        <w:t>public funds</w:t>
      </w:r>
      <w:r w:rsidR="004E75F3" w:rsidRPr="008D24DB">
        <w:rPr>
          <w:color w:val="000000" w:themeColor="text1"/>
        </w:rPr>
        <w:t>’</w:t>
      </w:r>
      <w:r w:rsidRPr="00C62820">
        <w:rPr>
          <w:color w:val="000000" w:themeColor="text1"/>
          <w:u w:color="000000" w:themeColor="text1"/>
        </w:rPr>
        <w:t xml:space="preserve"> does not include federal grants or tax credits.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(D)</w:t>
      </w:r>
      <w:r w:rsidRPr="00C62820">
        <w:rPr>
          <w:color w:val="000000" w:themeColor="text1"/>
          <w:u w:color="000000" w:themeColor="text1"/>
        </w:rPr>
        <w:tab/>
        <w:t xml:space="preserve">A credit for each installation of solar energy property placed in service may not exceed </w:t>
      </w:r>
      <w:r w:rsidRPr="00C62820">
        <w:rPr>
          <w:strike/>
          <w:color w:val="000000" w:themeColor="text1"/>
          <w:u w:color="000000" w:themeColor="text1"/>
        </w:rPr>
        <w:t>two</w:t>
      </w:r>
      <w:r w:rsidRPr="00C62820">
        <w:rPr>
          <w:color w:val="000000" w:themeColor="text1"/>
          <w:u w:color="000000" w:themeColor="text1"/>
        </w:rPr>
        <w:t xml:space="preserve"> </w:t>
      </w:r>
      <w:r w:rsidRPr="00C62820">
        <w:rPr>
          <w:color w:val="000000" w:themeColor="text1"/>
          <w:u w:val="single" w:color="000000" w:themeColor="text1"/>
        </w:rPr>
        <w:t>five</w:t>
      </w:r>
      <w:r w:rsidRPr="00C62820">
        <w:rPr>
          <w:color w:val="000000" w:themeColor="text1"/>
          <w:u w:color="000000" w:themeColor="text1"/>
        </w:rPr>
        <w:t xml:space="preserve"> million </w:t>
      </w:r>
      <w:r w:rsidRPr="00C62820">
        <w:rPr>
          <w:strike/>
          <w:color w:val="000000" w:themeColor="text1"/>
          <w:u w:color="000000" w:themeColor="text1"/>
        </w:rPr>
        <w:t>five hundred thousand</w:t>
      </w:r>
      <w:r w:rsidRPr="00C62820">
        <w:rPr>
          <w:color w:val="000000" w:themeColor="text1"/>
          <w:u w:color="000000" w:themeColor="text1"/>
        </w:rPr>
        <w:t xml:space="preserve"> dollars. The credit is allowed on a first come, first served basis, and the total amount of credits available to be taken, pursuant to the five </w:t>
      </w:r>
      <w:r w:rsidRPr="00C62820">
        <w:rPr>
          <w:color w:val="000000" w:themeColor="text1"/>
          <w:u w:color="000000" w:themeColor="text1"/>
        </w:rPr>
        <w:lastRenderedPageBreak/>
        <w:t>equal annual installments, for all taxpayers in a taxable year, may not exceed two million five hundred thousand dollars in the aggregate.</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(E)</w:t>
      </w:r>
      <w:r w:rsidRPr="00C62820">
        <w:rPr>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w:t>
      </w:r>
      <w:r w:rsidR="00BD5BDA">
        <w:rPr>
          <w:color w:val="000000" w:themeColor="text1"/>
          <w:u w:color="000000" w:themeColor="text1"/>
        </w:rPr>
        <w:t>’</w:t>
      </w:r>
      <w:r w:rsidRPr="00C62820">
        <w:rPr>
          <w:color w:val="000000" w:themeColor="text1"/>
          <w:u w:color="000000" w:themeColor="text1"/>
        </w:rPr>
        <w:t>s written certification that the lessor will not claim a credit pursuant to this section with respect to the property.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(F)</w:t>
      </w:r>
      <w:r w:rsidRPr="00C62820">
        <w:rPr>
          <w:color w:val="000000" w:themeColor="text1"/>
          <w:u w:color="000000" w:themeColor="text1"/>
        </w:rPr>
        <w:tab/>
        <w:t>The department may promulgate regulations necessary to implement the provisions of this section.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val="single" w:color="000000" w:themeColor="text1"/>
        </w:rPr>
        <w:t>(G)</w:t>
      </w:r>
      <w:r w:rsidRPr="00C62820">
        <w:rPr>
          <w:color w:val="000000" w:themeColor="text1"/>
          <w:u w:color="000000" w:themeColor="text1"/>
        </w:rPr>
        <w:tab/>
      </w:r>
      <w:r w:rsidR="00B70B25" w:rsidRPr="00B70B25">
        <w:rPr>
          <w:color w:val="000000" w:themeColor="text1"/>
          <w:u w:val="single" w:color="000000" w:themeColor="text1"/>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C62820">
        <w:rPr>
          <w:color w:val="000000" w:themeColor="text1"/>
          <w:u w:color="000000" w:themeColor="text1"/>
        </w:rPr>
        <w: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Pr="00C62820">
        <w:rPr>
          <w:color w:val="000000" w:themeColor="text1"/>
          <w:u w:color="000000" w:themeColor="text1"/>
        </w:rPr>
        <w:tab/>
        <w:t>This SECTION takes effect upon approval by the Governor and first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3.</w:t>
      </w:r>
      <w:r w:rsidRPr="00C62820">
        <w:rPr>
          <w:color w:val="000000" w:themeColor="text1"/>
          <w:u w:color="000000" w:themeColor="text1"/>
        </w:rPr>
        <w:tab/>
        <w:t>(A)</w:t>
      </w:r>
      <w:r w:rsidRPr="00C62820">
        <w:rPr>
          <w:color w:val="000000" w:themeColor="text1"/>
          <w:u w:color="000000" w:themeColor="text1"/>
        </w:rPr>
        <w:tab/>
        <w:t>Except as otherwise provided, this act takes effect upon approval by the Governor.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 xml:space="preserve">If a solar energy tax credit is earned </w:t>
      </w:r>
      <w:r w:rsidR="00A62CF6">
        <w:rPr>
          <w:color w:val="000000" w:themeColor="text1"/>
          <w:u w:color="000000" w:themeColor="text1"/>
        </w:rPr>
        <w:t xml:space="preserve">and any portion taken </w:t>
      </w:r>
      <w:r w:rsidRPr="00C62820">
        <w:rPr>
          <w:color w:val="000000" w:themeColor="text1"/>
          <w:u w:color="000000" w:themeColor="text1"/>
        </w:rPr>
        <w:t>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before 2022, then the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they existed on December 31, 2021, continue to apply to such credits until the credits have been fully claimed.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If a solar energy tax credit is earned 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after 2021</w:t>
      </w:r>
      <w:r w:rsidR="0050464E">
        <w:rPr>
          <w:color w:val="000000" w:themeColor="text1"/>
          <w:u w:color="000000" w:themeColor="text1"/>
        </w:rPr>
        <w:t>,</w:t>
      </w:r>
      <w:r w:rsidRPr="00C62820">
        <w:rPr>
          <w:color w:val="000000" w:themeColor="text1"/>
          <w:u w:color="000000" w:themeColor="text1"/>
        </w:rPr>
        <w:t xml:space="preserve"> but before the effective date of this act, then the reenacted provisions of </w:t>
      </w:r>
      <w:r w:rsidR="004E75F3">
        <w:rPr>
          <w:color w:val="000000" w:themeColor="text1"/>
          <w:u w:color="000000" w:themeColor="text1"/>
        </w:rPr>
        <w:t xml:space="preserve">Section </w:t>
      </w:r>
      <w:r w:rsidRPr="00C62820">
        <w:rPr>
          <w:color w:val="000000" w:themeColor="text1"/>
          <w:u w:color="000000" w:themeColor="text1"/>
        </w:rPr>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pursuant to SECTION 2, apply.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are repealed on December 31, 2024, except that if the credit allowed by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is earned before the repeal, then the provisions of Section </w:t>
      </w:r>
      <w:r w:rsidRPr="00C62820">
        <w:rPr>
          <w:color w:val="000000" w:themeColor="text1"/>
          <w:u w:color="000000" w:themeColor="text1"/>
        </w:rPr>
        <w:lastRenderedPageBreak/>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continue to apply until the credits have been fully claimed.</w:t>
      </w:r>
    </w:p>
    <w:p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D6F" w:rsidRDefault="00EE5D6F" w:rsidP="00EE5D6F">
      <w:pPr>
        <w:suppressAutoHyphens/>
      </w:pPr>
    </w:p>
    <w:sectPr w:rsidR="00EE5D6F" w:rsidSect="00E77D8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D7" w:rsidRDefault="00BF4FD7" w:rsidP="009F0C77">
      <w:r>
        <w:separator/>
      </w:r>
    </w:p>
  </w:endnote>
  <w:endnote w:type="continuationSeparator" w:id="0">
    <w:p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EEEDC58-DE9C-4FEE-B87B-1A47F65DB795}"/>
  </w:font>
  <w:font w:name="Times New Roman">
    <w:panose1 w:val="02020603050405020304"/>
    <w:charset w:val="00"/>
    <w:family w:val="roman"/>
    <w:pitch w:val="variable"/>
    <w:sig w:usb0="E0002EFF" w:usb1="C000785B" w:usb2="00000009" w:usb3="00000000" w:csb0="000001FF" w:csb1="00000000"/>
    <w:embedRegular r:id="rId2" w:fontKey="{B3C1BDE1-1821-4948-BC20-A2DD92921984}"/>
    <w:embedBold r:id="rId3" w:fontKey="{A3C734FB-525D-47BA-BD9E-5FE7CAB0778F}"/>
  </w:font>
  <w:font w:name="Courier New">
    <w:panose1 w:val="02070309020205020404"/>
    <w:charset w:val="00"/>
    <w:family w:val="modern"/>
    <w:pitch w:val="fixed"/>
    <w:sig w:usb0="E0002EFF" w:usb1="C0007843" w:usb2="00000009" w:usb3="00000000" w:csb0="000001FF" w:csb1="00000000"/>
    <w:embedRegular r:id="rId4" w:fontKey="{0630729A-5DB2-4290-86B3-D3794D9A805D}"/>
  </w:font>
  <w:font w:name="Wingdings">
    <w:panose1 w:val="05000000000000000000"/>
    <w:charset w:val="02"/>
    <w:family w:val="auto"/>
    <w:pitch w:val="variable"/>
    <w:sig w:usb0="00000000" w:usb1="10000000" w:usb2="00000000" w:usb3="00000000" w:csb0="80000000" w:csb1="00000000"/>
    <w:embedRegular r:id="rId5" w:fontKey="{10EE967E-E794-4D89-9A99-0A5648BC50DF}"/>
  </w:font>
  <w:font w:name="Calibri">
    <w:panose1 w:val="020F0502020204030204"/>
    <w:charset w:val="00"/>
    <w:family w:val="swiss"/>
    <w:pitch w:val="variable"/>
    <w:sig w:usb0="E4002EFF" w:usb1="C000247B" w:usb2="00000009" w:usb3="00000000" w:csb0="000001FF" w:csb1="00000000"/>
    <w:embedRegular r:id="rId6" w:fontKey="{7020E53D-CE5E-49B0-A366-C96C654F9C7D}"/>
  </w:font>
  <w:font w:name="Segoe UI">
    <w:panose1 w:val="020B0502040204020203"/>
    <w:charset w:val="00"/>
    <w:family w:val="swiss"/>
    <w:pitch w:val="variable"/>
    <w:sig w:usb0="E4002EFF" w:usb1="C000E47F" w:usb2="00000009" w:usb3="00000000" w:csb0="000001FF" w:csb1="00000000"/>
    <w:embedRegular r:id="rId7" w:fontKey="{34C0DCF7-5A7F-48FF-821E-0734E7339E49}"/>
  </w:font>
  <w:font w:name="Cambria">
    <w:panose1 w:val="02040503050406030204"/>
    <w:charset w:val="00"/>
    <w:family w:val="roman"/>
    <w:pitch w:val="variable"/>
    <w:sig w:usb0="E00006FF" w:usb1="420024FF" w:usb2="02000000" w:usb3="00000000" w:csb0="0000019F" w:csb1="00000000"/>
    <w:embedRegular r:id="rId8" w:fontKey="{1BEA55E8-2C4F-4249-9EE7-422E5F086B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0EE" w:rsidRPr="00F94704" w:rsidRDefault="00F94704" w:rsidP="00F94704">
    <w:pPr>
      <w:pStyle w:val="Footer"/>
      <w:tabs>
        <w:tab w:val="clear" w:pos="4680"/>
        <w:tab w:val="clear" w:pos="9360"/>
        <w:tab w:val="center" w:pos="2995"/>
      </w:tabs>
      <w:spacing w:before="120"/>
    </w:pPr>
    <w:r>
      <w:t>[901</w:t>
    </w:r>
    <w:r w:rsidR="00E77D81">
      <w:t>-</w:t>
    </w:r>
    <w:r w:rsidR="00E77D81">
      <w:fldChar w:fldCharType="begin"/>
    </w:r>
    <w:r w:rsidR="00E77D81">
      <w:instrText xml:space="preserve"> PAGE  \* MERGEFORMAT </w:instrText>
    </w:r>
    <w:r w:rsidR="00E77D81">
      <w:fldChar w:fldCharType="separate"/>
    </w:r>
    <w:r w:rsidR="00EE5D6F">
      <w:rPr>
        <w:noProof/>
      </w:rPr>
      <w:t>2</w:t>
    </w:r>
    <w:r w:rsidR="00E77D81">
      <w:fldChar w:fldCharType="end"/>
    </w:r>
    <w:r w:rsidR="00E77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D81" w:rsidRPr="00F94704" w:rsidRDefault="00E77D81"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EE5D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D7" w:rsidRDefault="00BF4FD7" w:rsidP="009F0C77">
      <w:r>
        <w:separator/>
      </w:r>
    </w:p>
  </w:footnote>
  <w:footnote w:type="continuationSeparator" w:id="0">
    <w:p w:rsidR="00BF4FD7" w:rsidRDefault="00BF4FD7"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A63D9"/>
    <w:multiLevelType w:val="hybridMultilevel"/>
    <w:tmpl w:val="77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63D9"/>
    <w:rsid w:val="00026C9A"/>
    <w:rsid w:val="00074706"/>
    <w:rsid w:val="000965A1"/>
    <w:rsid w:val="000C487D"/>
    <w:rsid w:val="000E13C8"/>
    <w:rsid w:val="000E1785"/>
    <w:rsid w:val="000F39F2"/>
    <w:rsid w:val="001023A4"/>
    <w:rsid w:val="0010776B"/>
    <w:rsid w:val="00133E66"/>
    <w:rsid w:val="00134ACF"/>
    <w:rsid w:val="00144E15"/>
    <w:rsid w:val="001905A1"/>
    <w:rsid w:val="001A4A62"/>
    <w:rsid w:val="001A681E"/>
    <w:rsid w:val="001D08F2"/>
    <w:rsid w:val="001F7338"/>
    <w:rsid w:val="002037CA"/>
    <w:rsid w:val="002047A2"/>
    <w:rsid w:val="0021530B"/>
    <w:rsid w:val="002321B6"/>
    <w:rsid w:val="0023606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4E75F3"/>
    <w:rsid w:val="0050464E"/>
    <w:rsid w:val="00511EE9"/>
    <w:rsid w:val="00521E00"/>
    <w:rsid w:val="0055433F"/>
    <w:rsid w:val="00577C6C"/>
    <w:rsid w:val="0058501B"/>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D24DB"/>
    <w:rsid w:val="008F4429"/>
    <w:rsid w:val="00932670"/>
    <w:rsid w:val="009352BB"/>
    <w:rsid w:val="00990668"/>
    <w:rsid w:val="009A5996"/>
    <w:rsid w:val="009B397B"/>
    <w:rsid w:val="009E367C"/>
    <w:rsid w:val="009F0C77"/>
    <w:rsid w:val="009F4DD1"/>
    <w:rsid w:val="00A25CA3"/>
    <w:rsid w:val="00A62CF6"/>
    <w:rsid w:val="00A64E80"/>
    <w:rsid w:val="00A741D9"/>
    <w:rsid w:val="00A85589"/>
    <w:rsid w:val="00A9741D"/>
    <w:rsid w:val="00AB0576"/>
    <w:rsid w:val="00AD4B17"/>
    <w:rsid w:val="00B26FA6"/>
    <w:rsid w:val="00B70B25"/>
    <w:rsid w:val="00B741CB"/>
    <w:rsid w:val="00B87AF8"/>
    <w:rsid w:val="00B934F3"/>
    <w:rsid w:val="00BB6347"/>
    <w:rsid w:val="00BD2134"/>
    <w:rsid w:val="00BD5BDA"/>
    <w:rsid w:val="00BF4FD7"/>
    <w:rsid w:val="00C038D8"/>
    <w:rsid w:val="00C045DD"/>
    <w:rsid w:val="00C171DD"/>
    <w:rsid w:val="00C3136F"/>
    <w:rsid w:val="00C3483A"/>
    <w:rsid w:val="00C74E9D"/>
    <w:rsid w:val="00C82FD3"/>
    <w:rsid w:val="00CC6B7B"/>
    <w:rsid w:val="00CD3619"/>
    <w:rsid w:val="00CF4447"/>
    <w:rsid w:val="00D238E3"/>
    <w:rsid w:val="00D239F9"/>
    <w:rsid w:val="00D24C61"/>
    <w:rsid w:val="00D34676"/>
    <w:rsid w:val="00D405E7"/>
    <w:rsid w:val="00D40DD2"/>
    <w:rsid w:val="00D41D56"/>
    <w:rsid w:val="00D6260D"/>
    <w:rsid w:val="00D6662B"/>
    <w:rsid w:val="00D95E2F"/>
    <w:rsid w:val="00D970A9"/>
    <w:rsid w:val="00DB3AC0"/>
    <w:rsid w:val="00DC6813"/>
    <w:rsid w:val="00DE68F0"/>
    <w:rsid w:val="00DF3845"/>
    <w:rsid w:val="00DF7E17"/>
    <w:rsid w:val="00E437DA"/>
    <w:rsid w:val="00E56A0F"/>
    <w:rsid w:val="00E63093"/>
    <w:rsid w:val="00E77D81"/>
    <w:rsid w:val="00EB00A2"/>
    <w:rsid w:val="00EB1BF3"/>
    <w:rsid w:val="00EB6310"/>
    <w:rsid w:val="00EE5D6F"/>
    <w:rsid w:val="00EF3EEE"/>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35A9-7F19-43C7-88D5-AB94990A9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2508</Words>
  <Characters>12628</Characters>
  <Application>Microsoft Office Word</Application>
  <DocSecurity>0</DocSecurity>
  <Lines>303</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(May 2, 2022) - South Carolina Legislature Online</dc:title>
  <dc:subject/>
  <dc:creator>Julie Newboult</dc:creator>
  <cp:keywords/>
  <dc:description/>
  <cp:lastModifiedBy>Danny Crook</cp:lastModifiedBy>
  <cp:revision>2</cp:revision>
  <cp:lastPrinted>2021-11-15T16:22:00Z</cp:lastPrinted>
  <dcterms:created xsi:type="dcterms:W3CDTF">2022-05-02T15:03:00Z</dcterms:created>
  <dcterms:modified xsi:type="dcterms:W3CDTF">2022-05-02T15:03:00Z</dcterms:modified>
</cp:coreProperties>
</file>