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44A0E" w14:textId="77777777" w:rsidR="00EB631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B19BD53" w14:textId="77777777" w:rsidR="005B1A90" w:rsidRP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580E281"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7E6866"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3877DC5C"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694D7DF3"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5CCE2" w14:textId="77777777" w:rsidR="005B1A90" w:rsidRPr="005B1A90" w:rsidRDefault="005B1A90" w:rsidP="005B1A90">
      <w:pPr>
        <w:tabs>
          <w:tab w:val="right" w:pos="5933"/>
        </w:tabs>
        <w:suppressAutoHyphens/>
      </w:pPr>
      <w:r>
        <w:tab/>
      </w:r>
      <w:r>
        <w:rPr>
          <w:b/>
          <w:sz w:val="36"/>
        </w:rPr>
        <w:t>S. 901</w:t>
      </w:r>
    </w:p>
    <w:p w14:paraId="76F1F2BC"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FA0112" w14:textId="77777777" w:rsidR="005B1A9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Verdin, Cromer, McElveen and Peeler</w:t>
      </w:r>
    </w:p>
    <w:p w14:paraId="2407E33C"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A54A83"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29287C00"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14:paraId="1129E1DF" w14:textId="77777777" w:rsidR="005B1A90" w:rsidRPr="005B1A9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ECAE1A3"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3ED17B" w14:textId="77777777" w:rsidR="005B1A90" w:rsidRDefault="005B1A9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1A90" w:rsidSect="00E77D81">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CF7160E" w14:textId="77777777" w:rsidR="00F94704" w:rsidRDefault="00F94704"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15DDAA"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E5C701"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06222"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9173FE"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B8F3E"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331AA" w14:textId="77777777"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A51A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F789BC" w14:textId="77777777" w:rsidR="0010776B" w:rsidRPr="00325348" w:rsidRDefault="0010776B"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4FD7">
        <w:rPr>
          <w:b/>
          <w:sz w:val="30"/>
          <w:szCs w:val="30"/>
        </w:rPr>
        <w:t>BILL</w:t>
      </w:r>
    </w:p>
    <w:p w14:paraId="106B98D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4062C" w14:textId="77777777" w:rsidR="000E13C8" w:rsidRDefault="000E13C8"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4C6ED8">
        <w:t>SECTION 12</w:t>
      </w:r>
      <w:r w:rsidR="00BD5BDA">
        <w:noBreakHyphen/>
      </w:r>
      <w:r w:rsidR="004C6ED8">
        <w:t>6</w:t>
      </w:r>
      <w:r w:rsidR="00BD5BDA">
        <w:noBreakHyphen/>
      </w:r>
      <w:r w:rsidR="004C6ED8">
        <w:t>3775</w:t>
      </w:r>
      <w:r w:rsidR="00236066">
        <w:t>,</w:t>
      </w:r>
      <w:r w:rsidR="001F7338">
        <w:t xml:space="preserve"> CODE OF LAWS OF SOUTH CAROLINA,</w:t>
      </w:r>
      <w:r>
        <w:t xml:space="preserve"> 1976</w:t>
      </w:r>
      <w:r w:rsidR="001F7338">
        <w:t>,</w:t>
      </w:r>
      <w:r>
        <w:t xml:space="preserve"> RELATING TO INCOME</w:t>
      </w:r>
      <w:r w:rsidR="004C6ED8">
        <w:t xml:space="preserve"> TAX CREDITS, </w:t>
      </w:r>
      <w:r>
        <w:t>SO AS TO PROVIDE FOR AN INCOME TAX CREDIT TO AN INDIVIDUAL OR BUSINESS THAT CONSTRUCTS, PURCHASES, OR LEASES CERTAIN SOLAR ENERGY PROPERTY AND THAT PLACES IT IN SERVICE IN THIS STATE, AND TO DEFINE NECESSARY TERMS; AND TO REPEAL SECTION 4 B. OF ACT 77 OF 2019 RELATING TO THE REPEAL OF SECTION 12</w:t>
      </w:r>
      <w:r w:rsidR="00BD5BDA">
        <w:noBreakHyphen/>
      </w:r>
      <w:r>
        <w:t>6</w:t>
      </w:r>
      <w:r w:rsidR="00BD5BDA">
        <w:noBreakHyphen/>
      </w:r>
      <w:r>
        <w:t>3775.</w:t>
      </w:r>
    </w:p>
    <w:p w14:paraId="02FD6CBA" w14:textId="77777777" w:rsidR="0010776B" w:rsidRDefault="005B1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F40CB86" w14:textId="77777777" w:rsidR="005B1A90" w:rsidRDefault="005B1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CCB71E" w14:textId="77777777"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F999F70" w14:textId="77777777"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86659A"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50464E">
        <w:tab/>
      </w:r>
      <w:r w:rsidRPr="00C62820">
        <w:rPr>
          <w:color w:val="000000" w:themeColor="text1"/>
          <w:u w:color="000000" w:themeColor="text1"/>
        </w:rPr>
        <w:t>A.</w:t>
      </w:r>
      <w:r w:rsidRPr="00C62820">
        <w:rPr>
          <w:color w:val="000000" w:themeColor="text1"/>
          <w:u w:color="000000" w:themeColor="text1"/>
        </w:rPr>
        <w:tab/>
      </w:r>
      <w:r w:rsidR="0050464E">
        <w:rPr>
          <w:color w:val="000000" w:themeColor="text1"/>
          <w:u w:color="000000" w:themeColor="text1"/>
        </w:rPr>
        <w:tab/>
      </w:r>
      <w:r w:rsidRPr="00C62820">
        <w:rPr>
          <w:color w:val="000000" w:themeColor="text1"/>
          <w:u w:color="000000" w:themeColor="text1"/>
        </w:rPr>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it existed on December 31, 2021, is reenacted retroactively, subject to the amendments contained in SECTION 2.</w:t>
      </w:r>
    </w:p>
    <w:p w14:paraId="75F49D95"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4E58C3"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000E13C8">
        <w:rPr>
          <w:color w:val="000000" w:themeColor="text1"/>
          <w:u w:color="000000" w:themeColor="text1"/>
        </w:rPr>
        <w:t xml:space="preserve"> </w:t>
      </w:r>
      <w:r w:rsidRPr="00C62820">
        <w:rPr>
          <w:color w:val="000000" w:themeColor="text1"/>
          <w:u w:color="000000" w:themeColor="text1"/>
        </w:rPr>
        <w:tab/>
        <w:t>This SECTION takes effect upon approval by the Governor and applies to income tax years beginning after 2021.</w:t>
      </w:r>
    </w:p>
    <w:p w14:paraId="0CAFFF98"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ED1A06"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C.</w:t>
      </w:r>
      <w:r w:rsidR="0050464E">
        <w:rPr>
          <w:color w:val="000000" w:themeColor="text1"/>
          <w:u w:color="000000" w:themeColor="text1"/>
        </w:rPr>
        <w:t xml:space="preserve"> </w:t>
      </w:r>
      <w:r w:rsidRPr="00C62820">
        <w:rPr>
          <w:color w:val="000000" w:themeColor="text1"/>
          <w:u w:color="000000" w:themeColor="text1"/>
        </w:rPr>
        <w:tab/>
        <w:t>Section 4</w:t>
      </w:r>
      <w:r w:rsidR="0050464E">
        <w:rPr>
          <w:color w:val="000000" w:themeColor="text1"/>
          <w:u w:color="000000" w:themeColor="text1"/>
        </w:rPr>
        <w:t xml:space="preserve"> </w:t>
      </w:r>
      <w:r w:rsidRPr="00C62820">
        <w:rPr>
          <w:color w:val="000000" w:themeColor="text1"/>
          <w:u w:color="000000" w:themeColor="text1"/>
        </w:rPr>
        <w:t>B</w:t>
      </w:r>
      <w:r w:rsidR="0050464E">
        <w:rPr>
          <w:color w:val="000000" w:themeColor="text1"/>
          <w:u w:color="000000" w:themeColor="text1"/>
        </w:rPr>
        <w:t>.</w:t>
      </w:r>
      <w:r w:rsidRPr="00C62820">
        <w:rPr>
          <w:color w:val="000000" w:themeColor="text1"/>
          <w:u w:color="000000" w:themeColor="text1"/>
        </w:rPr>
        <w:t xml:space="preserve"> of Act 77 of 2019 is repealed.</w:t>
      </w:r>
    </w:p>
    <w:p w14:paraId="610C2DAC"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B4102FE"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2.A.</w:t>
      </w: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of the 1976 Code is amended to read:</w:t>
      </w:r>
    </w:p>
    <w:p w14:paraId="781C8623"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52F1EF"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w:t>
      </w:r>
      <w:r w:rsidRPr="00C62820">
        <w:rPr>
          <w:color w:val="000000" w:themeColor="text1"/>
          <w:u w:color="000000" w:themeColor="text1"/>
        </w:rPr>
        <w:tab/>
        <w:t>(A)</w:t>
      </w:r>
      <w:r w:rsidRPr="00C62820">
        <w:rPr>
          <w:color w:val="000000" w:themeColor="text1"/>
          <w:u w:color="000000" w:themeColor="text1"/>
        </w:rPr>
        <w:tab/>
        <w:t xml:space="preserve">For the purposes of this section, </w:t>
      </w:r>
      <w:r w:rsidR="00BD5BDA">
        <w:rPr>
          <w:color w:val="000000" w:themeColor="text1"/>
          <w:u w:color="000000" w:themeColor="text1"/>
        </w:rPr>
        <w:t>‘</w:t>
      </w:r>
      <w:r w:rsidRPr="00C62820">
        <w:rPr>
          <w:color w:val="000000" w:themeColor="text1"/>
          <w:u w:color="000000" w:themeColor="text1"/>
        </w:rPr>
        <w:t>solar energy property</w:t>
      </w:r>
      <w:r w:rsidR="00BD5BDA">
        <w:rPr>
          <w:color w:val="000000" w:themeColor="text1"/>
          <w:u w:color="000000" w:themeColor="text1"/>
        </w:rPr>
        <w:t>’</w:t>
      </w:r>
      <w:r w:rsidRPr="00C62820">
        <w:rPr>
          <w:color w:val="000000" w:themeColor="text1"/>
          <w:u w:color="000000" w:themeColor="text1"/>
        </w:rPr>
        <w:t xml:space="preserve">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w:t>
      </w:r>
      <w:r w:rsidRPr="00C62820">
        <w:rPr>
          <w:color w:val="000000" w:themeColor="text1"/>
          <w:u w:color="000000" w:themeColor="text1"/>
        </w:rPr>
        <w:lastRenderedPageBreak/>
        <w:t>distillation, desalination, detoxification, or the production of industrial or commercial process heat. The term also includes related devices necessary for collecting, storing, exchanging, conditioning, or converting solar energy to other useful forms of energy.</w:t>
      </w:r>
    </w:p>
    <w:p w14:paraId="7E185C86"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A taxpayer is allowed an income tax credit equal to twenty five percent of the cost, including the cost of installation, of a solar energy property if he constructs, purchases, or leases a solar energy property that is located in the State of South Carolina and if:</w:t>
      </w:r>
    </w:p>
    <w:p w14:paraId="07A286E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(a)</w:t>
      </w:r>
      <w:r w:rsidRPr="00C62820">
        <w:rPr>
          <w:color w:val="000000" w:themeColor="text1"/>
          <w:u w:color="000000" w:themeColor="text1"/>
        </w:rPr>
        <w:tab/>
        <w:t>the property is located on:</w:t>
      </w:r>
    </w:p>
    <w:p w14:paraId="011D2582"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w:t>
      </w:r>
      <w:r w:rsidR="000E13C8">
        <w:rPr>
          <w:color w:val="000000" w:themeColor="text1"/>
          <w:u w:color="000000" w:themeColor="text1"/>
        </w:rPr>
        <w:t xml:space="preserve"> </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w:t>
      </w:r>
    </w:p>
    <w:p w14:paraId="56348F7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 Equivalent Sites;</w:t>
      </w:r>
    </w:p>
    <w:p w14:paraId="396FCA2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(iii)</w:t>
      </w:r>
      <w:r w:rsidRPr="00C62820">
        <w:rPr>
          <w:color w:val="000000" w:themeColor="text1"/>
          <w:u w:color="000000" w:themeColor="text1"/>
        </w:rPr>
        <w:tab/>
        <w:t>a list of related removal actions, as certified by the Department of Health and Environmental Control;</w:t>
      </w:r>
    </w:p>
    <w:p w14:paraId="10AA1E65"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(iv)</w:t>
      </w:r>
      <w:r w:rsidRPr="00C62820">
        <w:rPr>
          <w:color w:val="000000" w:themeColor="text1"/>
          <w:u w:color="000000" w:themeColor="text1"/>
        </w:rPr>
        <w:tab/>
        <w:t>land that is subject to a Voluntary Cleanup Contract with the Department of Health and Environmental Control as of December 31, 2017</w:t>
      </w:r>
      <w:r w:rsidR="004E75F3" w:rsidRPr="004E75F3">
        <w:rPr>
          <w:color w:val="000000" w:themeColor="text1"/>
          <w:u w:val="single" w:color="000000" w:themeColor="text1"/>
        </w:rPr>
        <w:t>,</w:t>
      </w:r>
      <w:r w:rsidRPr="00C62820">
        <w:rPr>
          <w:color w:val="000000" w:themeColor="text1"/>
          <w:u w:color="000000" w:themeColor="text1"/>
        </w:rPr>
        <w:t xml:space="preserve"> or to corrective action under the Federal Resource Conservation and Recovery Act of 1976; or</w:t>
      </w:r>
    </w:p>
    <w:p w14:paraId="695CCA54"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(v)</w:t>
      </w:r>
      <w:r w:rsidRPr="00C62820">
        <w:rPr>
          <w:color w:val="000000" w:themeColor="text1"/>
          <w:u w:color="000000" w:themeColor="text1"/>
        </w:rPr>
        <w:tab/>
        <w:t>land that is owned by the Pinewood Site Custodial Trust; and</w:t>
      </w:r>
    </w:p>
    <w:p w14:paraId="27CAD6DA"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(b)</w:t>
      </w:r>
      <w:r w:rsidRPr="00C62820">
        <w:rPr>
          <w:color w:val="000000" w:themeColor="text1"/>
          <w:u w:color="000000" w:themeColor="text1"/>
        </w:rPr>
        <w:tab/>
        <w:t>he places it in service in this State during the taxable year.</w:t>
      </w:r>
    </w:p>
    <w:p w14:paraId="2BA136F9"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 xml:space="preserve">The credit is earned in the year in which the solar energy property is placed in service but must be taken in five equal annual installments, beginning </w:t>
      </w:r>
      <w:r w:rsidRPr="00C62820">
        <w:rPr>
          <w:strike/>
          <w:color w:val="000000" w:themeColor="text1"/>
          <w:u w:color="000000" w:themeColor="text1"/>
        </w:rPr>
        <w:t>in</w:t>
      </w:r>
      <w:r w:rsidRPr="00C62820">
        <w:rPr>
          <w:color w:val="000000" w:themeColor="text1"/>
          <w:u w:color="000000" w:themeColor="text1"/>
        </w:rPr>
        <w:t xml:space="preserve"> </w:t>
      </w:r>
      <w:r w:rsidRPr="00C62820">
        <w:rPr>
          <w:color w:val="000000" w:themeColor="text1"/>
          <w:u w:val="single" w:color="000000" w:themeColor="text1"/>
        </w:rPr>
        <w:t>within three years of</w:t>
      </w:r>
      <w:r w:rsidRPr="00C62820">
        <w:rPr>
          <w:color w:val="000000" w:themeColor="text1"/>
          <w:u w:color="000000" w:themeColor="text1"/>
        </w:rPr>
        <w:t xml:space="preserve">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w:t>
      </w:r>
      <w:r w:rsidR="004E75F3" w:rsidRPr="008D24DB">
        <w:rPr>
          <w:color w:val="000000" w:themeColor="text1"/>
        </w:rPr>
        <w:t>‘</w:t>
      </w:r>
      <w:r w:rsidRPr="00C62820">
        <w:rPr>
          <w:color w:val="000000" w:themeColor="text1"/>
          <w:u w:color="000000" w:themeColor="text1"/>
        </w:rPr>
        <w:t>public funds</w:t>
      </w:r>
      <w:r w:rsidR="004E75F3" w:rsidRPr="008D24DB">
        <w:rPr>
          <w:color w:val="000000" w:themeColor="text1"/>
        </w:rPr>
        <w:t>’</w:t>
      </w:r>
      <w:r w:rsidRPr="00C62820">
        <w:rPr>
          <w:color w:val="000000" w:themeColor="text1"/>
          <w:u w:color="000000" w:themeColor="text1"/>
        </w:rPr>
        <w:t xml:space="preserve"> does not include federal grants or tax credits.</w:t>
      </w:r>
    </w:p>
    <w:p w14:paraId="62C6B6C3"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14:paraId="7C5E3B8A"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(D)</w:t>
      </w:r>
      <w:r w:rsidRPr="00C62820">
        <w:rPr>
          <w:color w:val="000000" w:themeColor="text1"/>
          <w:u w:color="000000" w:themeColor="text1"/>
        </w:rPr>
        <w:tab/>
        <w:t xml:space="preserve">A credit for each installation of solar energy property placed in service may not exceed </w:t>
      </w:r>
      <w:r w:rsidRPr="00C62820">
        <w:rPr>
          <w:strike/>
          <w:color w:val="000000" w:themeColor="text1"/>
          <w:u w:color="000000" w:themeColor="text1"/>
        </w:rPr>
        <w:t>two</w:t>
      </w:r>
      <w:r w:rsidRPr="00C62820">
        <w:rPr>
          <w:color w:val="000000" w:themeColor="text1"/>
          <w:u w:color="000000" w:themeColor="text1"/>
        </w:rPr>
        <w:t xml:space="preserve"> </w:t>
      </w:r>
      <w:r w:rsidRPr="00C62820">
        <w:rPr>
          <w:color w:val="000000" w:themeColor="text1"/>
          <w:u w:val="single" w:color="000000" w:themeColor="text1"/>
        </w:rPr>
        <w:t>five</w:t>
      </w:r>
      <w:r w:rsidRPr="00C62820">
        <w:rPr>
          <w:color w:val="000000" w:themeColor="text1"/>
          <w:u w:color="000000" w:themeColor="text1"/>
        </w:rPr>
        <w:t xml:space="preserve"> million </w:t>
      </w:r>
      <w:r w:rsidRPr="00C62820">
        <w:rPr>
          <w:strike/>
          <w:color w:val="000000" w:themeColor="text1"/>
          <w:u w:color="000000" w:themeColor="text1"/>
        </w:rPr>
        <w:t>five hundred thousand</w:t>
      </w:r>
      <w:r w:rsidRPr="00C62820">
        <w:rPr>
          <w:color w:val="000000" w:themeColor="text1"/>
          <w:u w:color="000000" w:themeColor="text1"/>
        </w:rPr>
        <w:t xml:space="preserve"> dollars. The credit is allowed on a first come, first served basis, and </w:t>
      </w:r>
      <w:r w:rsidRPr="00C62820">
        <w:rPr>
          <w:color w:val="000000" w:themeColor="text1"/>
          <w:u w:color="000000" w:themeColor="text1"/>
        </w:rPr>
        <w:lastRenderedPageBreak/>
        <w:t>the total amount of credits available to be taken, pursuant to the five equal annual installments, for all taxpayers in a taxable year, may not exceed two million five hundred thousand dollars in the aggregate.</w:t>
      </w:r>
    </w:p>
    <w:p w14:paraId="461F2221"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(E)</w:t>
      </w:r>
      <w:r w:rsidRPr="00C62820">
        <w:rPr>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lessor</w:t>
      </w:r>
      <w:r w:rsidR="00BD5BDA">
        <w:rPr>
          <w:color w:val="000000" w:themeColor="text1"/>
          <w:u w:color="000000" w:themeColor="text1"/>
        </w:rPr>
        <w:t>’</w:t>
      </w:r>
      <w:r w:rsidRPr="00C62820">
        <w:rPr>
          <w:color w:val="000000" w:themeColor="text1"/>
          <w:u w:color="000000" w:themeColor="text1"/>
        </w:rPr>
        <w:t>s written certification that the lessor will not claim a credit pursuant to this section with respect to the property.</w:t>
      </w:r>
    </w:p>
    <w:p w14:paraId="336D35B7"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(F)</w:t>
      </w:r>
      <w:r w:rsidRPr="00C62820">
        <w:rPr>
          <w:color w:val="000000" w:themeColor="text1"/>
          <w:u w:color="000000" w:themeColor="text1"/>
        </w:rPr>
        <w:tab/>
        <w:t>The department may promulgate regulations necessary to implement the provisions of this section.</w:t>
      </w:r>
    </w:p>
    <w:p w14:paraId="7FB26C44"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val="single" w:color="000000" w:themeColor="text1"/>
        </w:rPr>
        <w:t>(G)</w:t>
      </w:r>
      <w:r w:rsidRPr="00C62820">
        <w:rPr>
          <w:color w:val="000000" w:themeColor="text1"/>
          <w:u w:color="000000" w:themeColor="text1"/>
        </w:rPr>
        <w:tab/>
      </w:r>
      <w:r w:rsidR="00B70B25" w:rsidRPr="00B70B25">
        <w:rPr>
          <w:color w:val="000000" w:themeColor="text1"/>
          <w:u w:val="single" w:color="000000" w:themeColor="text1"/>
        </w:rPr>
        <w:t>To the extent that the taxpayer is a partnership or a limited liability company taxed as a partnership, the credit, including any unused credit amount carried forward, may be passed through to the partners or members and may be allocated among any of its partners or members on an annual basis including, without limitation, an allocation of the entire credit or unused carryforward to any partner or member who was a member or partner at any time in the year in which the credit or unused carryforward is allocated. The allocation must be allowed without regard to any provision of the Internal Revenue Code or regulations promulgated pursuant thereto, that may be interpreted as contrary to the allocation including, without limitation, the treatment of the allocation as a disguised sale. This subsection only applies to credits earned for a solar energy property placed in service after 2019.</w:t>
      </w:r>
      <w:r w:rsidRPr="00C62820">
        <w:rPr>
          <w:color w:val="000000" w:themeColor="text1"/>
          <w:u w:color="000000" w:themeColor="text1"/>
        </w:rPr>
        <w:t>”</w:t>
      </w:r>
    </w:p>
    <w:p w14:paraId="7AF07525"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CB03CD"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Pr="00C62820">
        <w:rPr>
          <w:color w:val="000000" w:themeColor="text1"/>
          <w:u w:color="000000" w:themeColor="text1"/>
        </w:rPr>
        <w:tab/>
        <w:t>This SECTION takes effect upon approval by the Governor and first applies to income tax years beginning after 2021.</w:t>
      </w:r>
    </w:p>
    <w:p w14:paraId="085DB6F4"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405C46"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t>SECTION</w:t>
      </w:r>
      <w:r w:rsidRPr="001C7876">
        <w:tab/>
      </w:r>
      <w:r>
        <w:t>3</w:t>
      </w:r>
      <w:r w:rsidRPr="001C7876">
        <w:t>.</w:t>
      </w:r>
      <w:r w:rsidRPr="001C7876">
        <w:tab/>
      </w:r>
      <w:r w:rsidRPr="001C7876">
        <w:rPr>
          <w:u w:color="000000" w:themeColor="text1"/>
        </w:rPr>
        <w:t>Section 12</w:t>
      </w:r>
      <w:r w:rsidRPr="001C7876">
        <w:rPr>
          <w:u w:color="000000" w:themeColor="text1"/>
        </w:rPr>
        <w:noBreakHyphen/>
        <w:t>36</w:t>
      </w:r>
      <w:r w:rsidRPr="001C7876">
        <w:rPr>
          <w:u w:color="000000" w:themeColor="text1"/>
        </w:rPr>
        <w:noBreakHyphen/>
        <w:t>2630(2) of the 1976 Code is amended to read:</w:t>
      </w:r>
    </w:p>
    <w:p w14:paraId="5620B4A8" w14:textId="77777777" w:rsidR="00E10A74"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FBF78F5"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“(2)</w:t>
      </w:r>
      <w:r w:rsidRPr="001C7876">
        <w:rPr>
          <w:u w:color="000000" w:themeColor="text1"/>
        </w:rPr>
        <w:tab/>
        <w:t>a one percent tax, which must be credited as provided in Section 59</w:t>
      </w:r>
      <w:r w:rsidRPr="001C7876">
        <w:rPr>
          <w:u w:color="000000" w:themeColor="text1"/>
        </w:rPr>
        <w:noBreakHyphen/>
        <w:t>21</w:t>
      </w:r>
      <w:r w:rsidRPr="001C7876">
        <w:rPr>
          <w:u w:color="000000" w:themeColor="text1"/>
        </w:rPr>
        <w:noBreakHyphen/>
        <w:t xml:space="preserve">1010(B). The one percent tax specified in this item (2) does not apply to sales to an individual </w:t>
      </w:r>
      <w:r w:rsidRPr="001C7876">
        <w:rPr>
          <w:strike/>
          <w:u w:color="000000" w:themeColor="text1"/>
        </w:rPr>
        <w:t>eighty</w:t>
      </w:r>
      <w:r w:rsidRPr="001C7876">
        <w:rPr>
          <w:strike/>
          <w:u w:color="000000" w:themeColor="text1"/>
        </w:rPr>
        <w:noBreakHyphen/>
        <w:t>five</w:t>
      </w:r>
      <w:r w:rsidRPr="001C7876">
        <w:rPr>
          <w:u w:color="000000" w:themeColor="text1"/>
        </w:rPr>
        <w:t xml:space="preserve"> </w:t>
      </w:r>
      <w:r w:rsidRPr="001C7876">
        <w:rPr>
          <w:u w:val="single" w:color="000000" w:themeColor="text1"/>
        </w:rPr>
        <w:t>seventy-eight</w:t>
      </w:r>
      <w:r w:rsidRPr="001C7876">
        <w:rPr>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14:paraId="2F90265F" w14:textId="77777777" w:rsidR="00E10A74" w:rsidRPr="001C7876" w:rsidRDefault="00E10A74" w:rsidP="005B1A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C7876">
        <w:t>SECTION</w:t>
      </w:r>
      <w:r w:rsidRPr="001C7876">
        <w:tab/>
      </w:r>
      <w:r>
        <w:t>4</w:t>
      </w:r>
      <w:r w:rsidRPr="001C7876">
        <w:t>.</w:t>
      </w:r>
      <w:r w:rsidRPr="001C7876">
        <w:tab/>
        <w:t>Article 9, Chapter 36, Title 12 of the 1976 Code is amended by adding:</w:t>
      </w:r>
    </w:p>
    <w:p w14:paraId="481CDC68" w14:textId="77777777" w:rsidR="005B1A90" w:rsidRDefault="005B1A90" w:rsidP="005B1A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407014" w14:textId="77777777" w:rsidR="00E10A74" w:rsidRPr="001C7876" w:rsidRDefault="00E10A74" w:rsidP="005B1A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tab/>
        <w:t>“Section 12-36-922.</w:t>
      </w:r>
      <w:r w:rsidRPr="001C7876">
        <w:tab/>
        <w:t>For each accommodations tax return filed with multiple locations, the filer also must provide electronically the location information by address and the amount of net taxable sales for each location.”</w:t>
      </w:r>
      <w:r w:rsidRPr="001C7876">
        <w:tab/>
      </w:r>
    </w:p>
    <w:p w14:paraId="41187121" w14:textId="77777777" w:rsidR="00E10A74" w:rsidRDefault="00E10A74"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B8CBDD"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SECTION</w:t>
      </w:r>
      <w:r w:rsidRPr="001C7876">
        <w:tab/>
      </w:r>
      <w:r>
        <w:t>5</w:t>
      </w:r>
      <w:r w:rsidRPr="001C7876">
        <w:t>.A.</w:t>
      </w:r>
      <w:r w:rsidRPr="001C7876">
        <w:tab/>
      </w:r>
      <w:r w:rsidRPr="001C7876">
        <w:rPr>
          <w:u w:color="000000" w:themeColor="text1"/>
        </w:rPr>
        <w:t>Section 12</w:t>
      </w:r>
      <w:r w:rsidRPr="001C7876">
        <w:rPr>
          <w:u w:color="000000" w:themeColor="text1"/>
        </w:rPr>
        <w:noBreakHyphen/>
        <w:t>36</w:t>
      </w:r>
      <w:r w:rsidRPr="001C7876">
        <w:rPr>
          <w:u w:color="000000" w:themeColor="text1"/>
        </w:rPr>
        <w:noBreakHyphen/>
        <w:t>2110(A)(1)(d) of the 1976 Code is amended to read:</w:t>
      </w:r>
    </w:p>
    <w:p w14:paraId="0971C511" w14:textId="77777777" w:rsidR="005B1A90" w:rsidRDefault="005B1A90"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CA1C03D"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rPr>
          <w:u w:color="000000" w:themeColor="text1"/>
        </w:rPr>
        <w:tab/>
        <w:t>“(d)</w:t>
      </w:r>
      <w:r w:rsidRPr="001C7876">
        <w:rPr>
          <w:u w:color="000000" w:themeColor="text1"/>
        </w:rPr>
        <w:tab/>
        <w:t>boat</w:t>
      </w:r>
      <w:r w:rsidRPr="001C7876">
        <w:t xml:space="preserve"> </w:t>
      </w:r>
      <w:r w:rsidRPr="001C7876">
        <w:rPr>
          <w:u w:val="single" w:color="000000" w:themeColor="text1"/>
        </w:rPr>
        <w:t>and watercraft motor</w:t>
      </w:r>
      <w:r w:rsidRPr="001C7876">
        <w:rPr>
          <w:u w:color="000000" w:themeColor="text1"/>
        </w:rPr>
        <w:t>;”</w:t>
      </w:r>
    </w:p>
    <w:p w14:paraId="1458E4AA" w14:textId="77777777" w:rsidR="00E10A74"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491504"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t>B.</w:t>
      </w:r>
      <w:r w:rsidRPr="001C7876">
        <w:tab/>
      </w:r>
      <w:r>
        <w:tab/>
      </w:r>
      <w:r w:rsidRPr="001C7876">
        <w:t xml:space="preserve">This SECTION takes effect upon approval by the Governor </w:t>
      </w:r>
      <w:r w:rsidRPr="001C7876">
        <w:rPr>
          <w:u w:color="000000" w:themeColor="text1"/>
        </w:rPr>
        <w:t>and first applies on July 1, 2022</w:t>
      </w:r>
      <w:r w:rsidRPr="001C7876">
        <w:t>.</w:t>
      </w:r>
      <w:r w:rsidRPr="001C7876">
        <w:tab/>
      </w:r>
    </w:p>
    <w:p w14:paraId="5BB80A53" w14:textId="77777777" w:rsidR="00E10A74"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E71041E"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t>SECTION</w:t>
      </w:r>
      <w:r w:rsidRPr="001C7876">
        <w:tab/>
      </w:r>
      <w:r>
        <w:t>6</w:t>
      </w:r>
      <w:r w:rsidRPr="001C7876">
        <w:t>.</w:t>
      </w:r>
      <w:r w:rsidRPr="001C7876">
        <w:tab/>
      </w:r>
      <w:r w:rsidRPr="001C7876">
        <w:rPr>
          <w:u w:color="000000" w:themeColor="text1"/>
        </w:rPr>
        <w:t>Article 25, Chapter 6, Title 12 of the 1976 Code is amended by adding:</w:t>
      </w:r>
    </w:p>
    <w:p w14:paraId="10B7D74E" w14:textId="77777777" w:rsidR="00E10A74"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7CB8E18"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“Section 12</w:t>
      </w:r>
      <w:r w:rsidRPr="001C7876">
        <w:rPr>
          <w:u w:color="000000" w:themeColor="text1"/>
        </w:rPr>
        <w:noBreakHyphen/>
        <w:t>6</w:t>
      </w:r>
      <w:r w:rsidRPr="001C7876">
        <w:rPr>
          <w:u w:color="000000" w:themeColor="text1"/>
        </w:rPr>
        <w:noBreakHyphen/>
        <w:t>3710.</w:t>
      </w:r>
      <w:r w:rsidRPr="001C7876">
        <w:rPr>
          <w:u w:color="000000" w:themeColor="text1"/>
        </w:rPr>
        <w:tab/>
        <w:t>(A)</w:t>
      </w:r>
      <w:r w:rsidRPr="001C7876">
        <w:rPr>
          <w:u w:color="000000" w:themeColor="text1"/>
        </w:rPr>
        <w:tab/>
        <w:t>For tax years beginning after 2021, there is allowed a tax credit for any taxpayer that hires a formerly incarcerated individual,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571728DA"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(B)</w:t>
      </w:r>
      <w:r w:rsidRPr="001C7876">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14:paraId="2E871008"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(C)</w:t>
      </w:r>
      <w:r w:rsidRPr="001C7876">
        <w:rPr>
          <w:u w:color="000000" w:themeColor="text1"/>
        </w:rPr>
        <w:tab/>
        <w:t>The total amount of the tax credit for a taxable year may not exceed the taxpayer’s tax liability.  Any unused credit may not be carried over to apply to the taxpayer’s succeeding year’s liability.</w:t>
      </w:r>
    </w:p>
    <w:p w14:paraId="0E7EDEC6"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lastRenderedPageBreak/>
        <w:tab/>
        <w:t>(D)(1)</w:t>
      </w:r>
      <w:r w:rsidRPr="001C7876">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14:paraId="3434F991"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14:paraId="6F570CE2"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(E)</w:t>
      </w:r>
      <w:r w:rsidRPr="001C7876">
        <w:rPr>
          <w:u w:color="000000" w:themeColor="text1"/>
        </w:rPr>
        <w:tab/>
        <w:t xml:space="preserve">Notwithstanding any other provision of this section, the credit allowed by this section only may be claimed if the formerly incarcerated individual is hired by the employer, after 2021 but before 2027, as a new employee in the registered apprenticeship program.  If the individual is hired before 2027, then the employer may claim the credit for each year the individual is eligible and on the same schedule as provided in this section. </w:t>
      </w:r>
    </w:p>
    <w:p w14:paraId="799638CD"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(F)</w:t>
      </w:r>
      <w:r w:rsidRPr="001C7876">
        <w:rPr>
          <w:u w:color="000000" w:themeColor="text1"/>
        </w:rPr>
        <w:tab/>
        <w:t>The department may prescribe forms and promulgate regulations necessary to implement the provisions of this section, including requiring the necessary documentation to prove eligibility.</w:t>
      </w:r>
    </w:p>
    <w:p w14:paraId="130E16AC"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(G)</w:t>
      </w:r>
      <w:r w:rsidRPr="001C7876">
        <w:rPr>
          <w:u w:color="000000" w:themeColor="text1"/>
        </w:rPr>
        <w:tab/>
        <w:t>Nothing in this section may be construed to allow an employer to claim this credit for a formerly incarcerated individual if the individual was hired before 2022.</w:t>
      </w:r>
    </w:p>
    <w:p w14:paraId="1E888440"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(H)</w:t>
      </w:r>
      <w:r w:rsidRPr="001C7876">
        <w:rPr>
          <w:u w:color="000000" w:themeColor="text1"/>
        </w:rPr>
        <w:tab/>
        <w:t>For purposes of this section:</w:t>
      </w:r>
    </w:p>
    <w:p w14:paraId="764654D4"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(1)</w:t>
      </w:r>
      <w:r w:rsidRPr="001C7876">
        <w:rPr>
          <w:u w:color="000000" w:themeColor="text1"/>
        </w:rPr>
        <w:tab/>
        <w:t>‘Full</w:t>
      </w:r>
      <w:r w:rsidRPr="001C7876">
        <w:rPr>
          <w:u w:color="000000" w:themeColor="text1"/>
        </w:rPr>
        <w:noBreakHyphen/>
        <w:t>time’ has the same meaning as provided in Section 12</w:t>
      </w:r>
      <w:r w:rsidRPr="001C7876">
        <w:rPr>
          <w:u w:color="000000" w:themeColor="text1"/>
        </w:rPr>
        <w:noBreakHyphen/>
        <w:t>6</w:t>
      </w:r>
      <w:r w:rsidRPr="001C7876">
        <w:rPr>
          <w:u w:color="000000" w:themeColor="text1"/>
        </w:rPr>
        <w:noBreakHyphen/>
        <w:t>3360.</w:t>
      </w:r>
    </w:p>
    <w:p w14:paraId="03313118"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1C7876">
        <w:rPr>
          <w:u w:color="000000" w:themeColor="text1"/>
        </w:rPr>
        <w:noBreakHyphen/>
        <w:t>1</w:t>
      </w:r>
      <w:r w:rsidRPr="001C7876">
        <w:rPr>
          <w:u w:color="000000" w:themeColor="text1"/>
        </w:rPr>
        <w:noBreakHyphen/>
        <w:t>60, unless such individual received a pardon for the offense or unless the only disqualifying violent crime resulted in a sentence of ten years or less under Section 44</w:t>
      </w:r>
      <w:r w:rsidRPr="001C7876">
        <w:rPr>
          <w:u w:color="000000" w:themeColor="text1"/>
        </w:rPr>
        <w:noBreakHyphen/>
        <w:t>53</w:t>
      </w:r>
      <w:r w:rsidRPr="001C7876">
        <w:rPr>
          <w:u w:color="000000" w:themeColor="text1"/>
        </w:rPr>
        <w:noBreakHyphen/>
        <w:t>370(E) or Section 44</w:t>
      </w:r>
      <w:r w:rsidRPr="001C7876">
        <w:rPr>
          <w:u w:color="000000" w:themeColor="text1"/>
        </w:rPr>
        <w:noBreakHyphen/>
        <w:t>53</w:t>
      </w:r>
      <w:r w:rsidRPr="001C7876">
        <w:rPr>
          <w:u w:color="000000" w:themeColor="text1"/>
        </w:rPr>
        <w:noBreakHyphen/>
        <w:t>375(C).</w:t>
      </w:r>
    </w:p>
    <w:p w14:paraId="113524BD"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Section 12</w:t>
      </w:r>
      <w:r w:rsidRPr="001C7876">
        <w:rPr>
          <w:u w:color="000000" w:themeColor="text1"/>
        </w:rPr>
        <w:noBreakHyphen/>
        <w:t>6</w:t>
      </w:r>
      <w:r w:rsidRPr="001C7876">
        <w:rPr>
          <w:u w:color="000000" w:themeColor="text1"/>
        </w:rPr>
        <w:noBreakHyphen/>
        <w:t>3720.</w:t>
      </w:r>
      <w:r w:rsidRPr="001C7876">
        <w:rPr>
          <w:u w:color="000000" w:themeColor="text1"/>
        </w:rPr>
        <w:tab/>
        <w:t>(A)</w:t>
      </w:r>
      <w:r w:rsidRPr="001C7876">
        <w:rPr>
          <w:u w:color="000000" w:themeColor="text1"/>
        </w:rPr>
        <w:tab/>
        <w:t xml:space="preserve">For tax years beginning after 2021, there is allowed a tax credit for any taxpayer that hires a veteran of the Armed Forces of the United States, after 2021 but before 2027, as a new employee in a registered apprenticeship program that has been validated by the United States Department of Labor.  An employer who has one or more eligible employees is eligible to apply for and </w:t>
      </w:r>
      <w:r w:rsidRPr="001C7876">
        <w:rPr>
          <w:u w:color="000000" w:themeColor="text1"/>
        </w:rPr>
        <w:lastRenderedPageBreak/>
        <w:t>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3ECF10EC"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(B)</w:t>
      </w:r>
      <w:r w:rsidRPr="001C7876">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14:paraId="28C9094C"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(C)</w:t>
      </w:r>
      <w:r w:rsidRPr="001C7876">
        <w:rPr>
          <w:u w:color="000000" w:themeColor="text1"/>
        </w:rPr>
        <w:tab/>
        <w:t>The total amount of the tax credit for a taxable year may not exceed the taxpayer’s tax liability.  Any unused credit may not be carried over to apply to the taxpayer’s succeeding year’s liability.</w:t>
      </w:r>
    </w:p>
    <w:p w14:paraId="4376811A"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(D)(1)</w:t>
      </w:r>
      <w:r w:rsidRPr="001C7876">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14:paraId="344389C7"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14:paraId="1E096E23"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(E)</w:t>
      </w:r>
      <w:r w:rsidRPr="001C7876">
        <w:rPr>
          <w:u w:color="000000" w:themeColor="text1"/>
        </w:rPr>
        <w:tab/>
        <w:t xml:space="preserve">Notwithstanding any other provision of this section, the credit allowed by this section only may be claimed if the veteran is hired, after 2021 but before 2027, by the employer as a new employee in the registered apprenticeship program.  If the individual is employed before 2027, then the employer may claim the credit for each year the individual is eligible and on the same schedule as provided in this section. </w:t>
      </w:r>
    </w:p>
    <w:p w14:paraId="6AD2FC32"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(F)</w:t>
      </w:r>
      <w:r w:rsidRPr="001C7876">
        <w:rPr>
          <w:u w:color="000000" w:themeColor="text1"/>
        </w:rPr>
        <w:tab/>
        <w:t>The department may prescribe forms and promulgate regulations necessary to implement the provisions of this section, including requiring the necessary documentation to prove eligibility.</w:t>
      </w:r>
    </w:p>
    <w:p w14:paraId="3B21EEF1"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(G)</w:t>
      </w:r>
      <w:r w:rsidRPr="001C7876">
        <w:rPr>
          <w:u w:color="000000" w:themeColor="text1"/>
        </w:rPr>
        <w:tab/>
        <w:t>Nothing in this section may be construed to allow an employer to claim this credit for a veteran if the veteran was hired before the effective date of this section.</w:t>
      </w:r>
    </w:p>
    <w:p w14:paraId="1FD8793B"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lastRenderedPageBreak/>
        <w:tab/>
        <w:t>(H)</w:t>
      </w:r>
      <w:r w:rsidRPr="001C7876">
        <w:rPr>
          <w:u w:color="000000" w:themeColor="text1"/>
        </w:rPr>
        <w:tab/>
        <w:t>For purposes of this section:</w:t>
      </w:r>
    </w:p>
    <w:p w14:paraId="4EAF9291" w14:textId="77777777" w:rsidR="00E10A74" w:rsidRPr="001C7876"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(1)</w:t>
      </w:r>
      <w:r w:rsidRPr="001C7876">
        <w:rPr>
          <w:u w:color="000000" w:themeColor="text1"/>
        </w:rPr>
        <w:tab/>
        <w:t>‘Full</w:t>
      </w:r>
      <w:r w:rsidRPr="001C7876">
        <w:rPr>
          <w:u w:color="000000" w:themeColor="text1"/>
        </w:rPr>
        <w:noBreakHyphen/>
        <w:t>time’ has the same meaning as provided in Section 12</w:t>
      </w:r>
      <w:r w:rsidRPr="001C7876">
        <w:rPr>
          <w:u w:color="000000" w:themeColor="text1"/>
        </w:rPr>
        <w:noBreakHyphen/>
        <w:t>6</w:t>
      </w:r>
      <w:r w:rsidRPr="001C7876">
        <w:rPr>
          <w:u w:color="000000" w:themeColor="text1"/>
        </w:rPr>
        <w:noBreakHyphen/>
        <w:t>3360.</w:t>
      </w:r>
    </w:p>
    <w:p w14:paraId="40969F1D" w14:textId="77777777" w:rsidR="00E10A74" w:rsidRDefault="00E10A74" w:rsidP="00E1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876">
        <w:rPr>
          <w:u w:color="000000" w:themeColor="text1"/>
        </w:rPr>
        <w:tab/>
      </w:r>
      <w:r w:rsidRPr="001C7876">
        <w:rPr>
          <w:u w:color="000000" w:themeColor="text1"/>
        </w:rPr>
        <w:tab/>
        <w:t>(2)</w:t>
      </w:r>
      <w:r w:rsidRPr="001C7876">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1C7876">
        <w:rPr>
          <w:u w:color="000000" w:themeColor="text1"/>
        </w:rPr>
        <w:noBreakHyphen/>
        <w:t>connected disability.”</w:t>
      </w:r>
    </w:p>
    <w:p w14:paraId="6D62FE97" w14:textId="77777777" w:rsidR="00E10A74" w:rsidRDefault="00E10A74"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CDC5A5" w14:textId="77777777" w:rsidR="005B1A90" w:rsidRPr="00A3232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320">
        <w:rPr>
          <w:u w:color="000000" w:themeColor="text1"/>
        </w:rPr>
        <w:t>SECTION</w:t>
      </w:r>
      <w:r w:rsidRPr="00A32320">
        <w:rPr>
          <w:u w:color="000000" w:themeColor="text1"/>
        </w:rPr>
        <w:tab/>
      </w:r>
      <w:r>
        <w:rPr>
          <w:u w:color="000000" w:themeColor="text1"/>
        </w:rPr>
        <w:t>7</w:t>
      </w:r>
      <w:r w:rsidRPr="00A32320">
        <w:rPr>
          <w:u w:color="000000" w:themeColor="text1"/>
        </w:rPr>
        <w:t>.</w:t>
      </w:r>
      <w:r w:rsidRPr="00A32320">
        <w:rPr>
          <w:u w:color="000000" w:themeColor="text1"/>
        </w:rPr>
        <w:tab/>
        <w:t>A.</w:t>
      </w:r>
      <w:r w:rsidRPr="00A32320">
        <w:rPr>
          <w:u w:color="000000" w:themeColor="text1"/>
        </w:rPr>
        <w:tab/>
        <w:t>Section 12-10-30 of the 1976 Code is amended by adding an appropriately numbered item to read:</w:t>
      </w:r>
    </w:p>
    <w:p w14:paraId="3623F5E0" w14:textId="77777777" w:rsidR="005B1A9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9C6F4A" w14:textId="77777777" w:rsidR="005B1A90" w:rsidRPr="00A3232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320">
        <w:tab/>
        <w:t>“(  )</w:t>
      </w:r>
      <w:r w:rsidRPr="00A32320">
        <w:tab/>
        <w:t>‘Related person’ includes any entity or person that bears a relationship to a business as provided in Internal Revenue Code Section 267 or 707(b). The related person must be a ‘qualifying business’ as defined in item 1, except that the related person does not have to meet the requirements of Section 12</w:t>
      </w:r>
      <w:r w:rsidRPr="00A32320">
        <w:noBreakHyphen/>
        <w:t>10</w:t>
      </w:r>
      <w:r w:rsidRPr="00A32320">
        <w:noBreakHyphen/>
        <w:t>50(A)(1) or, in case the qualifying business qualifies for the credit against withholding for retraining pursuant to Section 12</w:t>
      </w:r>
      <w:r w:rsidRPr="00A32320">
        <w:noBreakHyphen/>
        <w:t>10</w:t>
      </w:r>
      <w:r w:rsidRPr="00A32320">
        <w:noBreakHyphen/>
        <w:t>95 of this Chapter, the related person does not have to meet the requirements of Section 12</w:t>
      </w:r>
      <w:r w:rsidRPr="00A32320">
        <w:noBreakHyphen/>
        <w:t>10</w:t>
      </w:r>
      <w:r w:rsidRPr="00A32320">
        <w:noBreakHyphen/>
        <w:t>50(B)(1).”</w:t>
      </w:r>
    </w:p>
    <w:p w14:paraId="3866265A" w14:textId="77777777" w:rsidR="005B1A9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DA1493" w14:textId="77777777" w:rsidR="005B1A90" w:rsidRPr="00A3232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320">
        <w:t>B.</w:t>
      </w:r>
      <w:r>
        <w:tab/>
      </w:r>
      <w:r w:rsidRPr="00A32320">
        <w:tab/>
        <w:t>Section 12-10-80 of the 1976 Code is amended by adding an appropriately numbered item to read:</w:t>
      </w:r>
    </w:p>
    <w:p w14:paraId="665428FC" w14:textId="77777777" w:rsidR="005B1A9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B546BB" w14:textId="77777777" w:rsidR="005B1A90" w:rsidRPr="00A32320"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320">
        <w:tab/>
        <w:t>“(  )(a)</w:t>
      </w:r>
      <w:r w:rsidRPr="00A32320">
        <w:tab/>
        <w:t xml:space="preserve">For purposes of this chapter, a qualifying business may designate up to two related persons whose jobs and investments located at the project may be included to determine whether the qualifying business has met and maintained the minimum job requirement and minimum capital investment requirement. Qualified expenditures described in subsection (C) incurred by a related person may be treated as though such qualifying expenditures were incurred by the qualifying business for purposes of claiming the job development credit and each related person may claim the job development credit for the jobs created by such related person and include any qualifying expenditures of the qualifying business or another related person for purposes of claiming the job development credit as if created and made by the related person. </w:t>
      </w:r>
    </w:p>
    <w:p w14:paraId="56673F16" w14:textId="77777777" w:rsidR="00E10A74" w:rsidRDefault="005B1A90" w:rsidP="005B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320">
        <w:tab/>
      </w:r>
      <w:r w:rsidRPr="00A32320">
        <w:tab/>
      </w:r>
      <w:r w:rsidRPr="00A32320">
        <w:tab/>
        <w:t>(b)</w:t>
      </w:r>
      <w:r w:rsidRPr="00A32320">
        <w:tab/>
        <w:t>A single</w:t>
      </w:r>
      <w:r w:rsidRPr="00A32320">
        <w:noBreakHyphen/>
        <w:t>member limited</w:t>
      </w:r>
      <w:r w:rsidRPr="00A32320">
        <w:noBreakHyphen/>
        <w:t xml:space="preserve">liability company that is not regarded as an entity separate from its owner and a qualified subchapter ‘S’ subsidiary as defined in Section 1361(b)(3)(B) of the Internal Revenue Code that is not regarded as a separate entity from the ‘S’ corporation that owns its stock, is treated as the qualifying </w:t>
      </w:r>
      <w:r w:rsidRPr="00A32320">
        <w:lastRenderedPageBreak/>
        <w:t>business for all purposes under this chapter, including for purposes of claiming the job development credit against withholding but it counts as a related person for purposes of the limit described in subitem (a).”</w:t>
      </w:r>
    </w:p>
    <w:p w14:paraId="51EC0FF3" w14:textId="77777777" w:rsidR="00E10A74" w:rsidRDefault="00E10A74"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2CB8C3"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r>
      <w:r w:rsidR="00E10A74">
        <w:rPr>
          <w:color w:val="000000" w:themeColor="text1"/>
          <w:u w:color="000000" w:themeColor="text1"/>
        </w:rPr>
        <w:t>8</w:t>
      </w:r>
      <w:r w:rsidRPr="00C62820">
        <w:rPr>
          <w:color w:val="000000" w:themeColor="text1"/>
          <w:u w:color="000000" w:themeColor="text1"/>
        </w:rPr>
        <w:t>.</w:t>
      </w:r>
      <w:r w:rsidRPr="00C62820">
        <w:rPr>
          <w:color w:val="000000" w:themeColor="text1"/>
          <w:u w:color="000000" w:themeColor="text1"/>
        </w:rPr>
        <w:tab/>
        <w:t>(A)</w:t>
      </w:r>
      <w:r w:rsidRPr="00C62820">
        <w:rPr>
          <w:color w:val="000000" w:themeColor="text1"/>
          <w:u w:color="000000" w:themeColor="text1"/>
        </w:rPr>
        <w:tab/>
        <w:t>Except as otherwise provided, this act takes effect upon approval by the Governor.</w:t>
      </w:r>
    </w:p>
    <w:p w14:paraId="16B908BA"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 xml:space="preserve">If a solar energy tax credit is earned </w:t>
      </w:r>
      <w:r w:rsidR="00A62CF6">
        <w:rPr>
          <w:color w:val="000000" w:themeColor="text1"/>
          <w:u w:color="000000" w:themeColor="text1"/>
        </w:rPr>
        <w:t xml:space="preserve">and any portion taken </w:t>
      </w:r>
      <w:r w:rsidRPr="00C62820">
        <w:rPr>
          <w:color w:val="000000" w:themeColor="text1"/>
          <w:u w:color="000000" w:themeColor="text1"/>
        </w:rPr>
        <w:t>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before 2022, then the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they existed on December 31, 2021, continue to apply to such credits until the credits have been fully claimed.</w:t>
      </w:r>
    </w:p>
    <w:p w14:paraId="53909306"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If a solar energy tax credit is earned 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after 2021</w:t>
      </w:r>
      <w:r w:rsidR="0050464E">
        <w:rPr>
          <w:color w:val="000000" w:themeColor="text1"/>
          <w:u w:color="000000" w:themeColor="text1"/>
        </w:rPr>
        <w:t>,</w:t>
      </w:r>
      <w:r w:rsidRPr="00C62820">
        <w:rPr>
          <w:color w:val="000000" w:themeColor="text1"/>
          <w:u w:color="000000" w:themeColor="text1"/>
        </w:rPr>
        <w:t xml:space="preserve"> but before the effective date of this act, then the reenacted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pursuant to SECTION 2, apply.</w:t>
      </w:r>
    </w:p>
    <w:p w14:paraId="6C6523A5" w14:textId="77777777"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The provisions of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are repealed on December 31, 2024, except that if the credit allowed by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is earned before the repeal, then the provisions of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continue to apply until the credits have been fully claimed.</w:t>
      </w:r>
    </w:p>
    <w:p w14:paraId="7F15624E" w14:textId="77777777" w:rsidR="00F500EE" w:rsidRDefault="00BD5B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5769DA5" w14:textId="77777777" w:rsidR="00202145" w:rsidRDefault="00202145" w:rsidP="00202145">
      <w:pPr>
        <w:suppressAutoHyphens/>
      </w:pPr>
    </w:p>
    <w:sectPr w:rsidR="00202145" w:rsidSect="00E77D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8F0C1" w14:textId="77777777" w:rsidR="00BF4FD7" w:rsidRDefault="00BF4FD7" w:rsidP="009F0C77">
      <w:r>
        <w:separator/>
      </w:r>
    </w:p>
  </w:endnote>
  <w:endnote w:type="continuationSeparator" w:id="0">
    <w:p w14:paraId="7CFE34FD" w14:textId="77777777" w:rsidR="00BF4FD7" w:rsidRDefault="00BF4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68BB7F6-5B83-4CD9-BDF7-14E16A0563E2}"/>
  </w:font>
  <w:font w:name="Times New Roman">
    <w:panose1 w:val="02020603050405020304"/>
    <w:charset w:val="00"/>
    <w:family w:val="roman"/>
    <w:pitch w:val="variable"/>
    <w:sig w:usb0="E0002EFF" w:usb1="C000785B" w:usb2="00000009" w:usb3="00000000" w:csb0="000001FF" w:csb1="00000000"/>
    <w:embedRegular r:id="rId2" w:fontKey="{05A2CF7D-C8AA-4820-8ABF-0D7141D74453}"/>
    <w:embedBold r:id="rId3" w:fontKey="{78F14681-1D0F-4702-AE7E-145CC20F7CE1}"/>
  </w:font>
  <w:font w:name="Courier New">
    <w:panose1 w:val="02070309020205020404"/>
    <w:charset w:val="00"/>
    <w:family w:val="modern"/>
    <w:pitch w:val="fixed"/>
    <w:sig w:usb0="E0002EFF" w:usb1="C0007843" w:usb2="00000009" w:usb3="00000000" w:csb0="000001FF" w:csb1="00000000"/>
    <w:embedRegular r:id="rId4" w:fontKey="{A1C2FA25-5229-499F-83FB-97E340A02A1C}"/>
  </w:font>
  <w:font w:name="Wingdings">
    <w:panose1 w:val="05000000000000000000"/>
    <w:charset w:val="02"/>
    <w:family w:val="auto"/>
    <w:pitch w:val="variable"/>
    <w:sig w:usb0="00000000" w:usb1="10000000" w:usb2="00000000" w:usb3="00000000" w:csb0="80000000" w:csb1="00000000"/>
    <w:embedRegular r:id="rId5" w:fontKey="{48753419-305F-4ACD-A665-5600B1CCBD20}"/>
  </w:font>
  <w:font w:name="Calibri">
    <w:panose1 w:val="020F0502020204030204"/>
    <w:charset w:val="00"/>
    <w:family w:val="swiss"/>
    <w:pitch w:val="variable"/>
    <w:sig w:usb0="E4002EFF" w:usb1="C000247B" w:usb2="00000009" w:usb3="00000000" w:csb0="000001FF" w:csb1="00000000"/>
    <w:embedRegular r:id="rId6" w:fontKey="{C0D3E4FC-5BA7-47A5-955E-35062285949E}"/>
  </w:font>
  <w:font w:name="Segoe UI">
    <w:panose1 w:val="020B0502040204020203"/>
    <w:charset w:val="00"/>
    <w:family w:val="swiss"/>
    <w:pitch w:val="variable"/>
    <w:sig w:usb0="E4002EFF" w:usb1="C000E47F" w:usb2="00000009" w:usb3="00000000" w:csb0="000001FF" w:csb1="00000000"/>
    <w:embedRegular r:id="rId7" w:fontKey="{82B1CCEA-9D60-4536-834A-994EE417CC3E}"/>
  </w:font>
  <w:font w:name="Cambria">
    <w:panose1 w:val="02040503050406030204"/>
    <w:charset w:val="00"/>
    <w:family w:val="roman"/>
    <w:pitch w:val="variable"/>
    <w:sig w:usb0="E00006FF" w:usb1="420024FF" w:usb2="02000000" w:usb3="00000000" w:csb0="0000019F" w:csb1="00000000"/>
    <w:embedRegular r:id="rId8" w:fontKey="{45ACAF78-003F-4981-A3E8-24A0F6C72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96A9" w14:textId="77777777" w:rsidR="00F500EE" w:rsidRPr="00F94704" w:rsidRDefault="00F94704" w:rsidP="00F94704">
    <w:pPr>
      <w:pStyle w:val="Footer"/>
      <w:tabs>
        <w:tab w:val="clear" w:pos="4680"/>
        <w:tab w:val="clear" w:pos="9360"/>
        <w:tab w:val="center" w:pos="2995"/>
      </w:tabs>
      <w:spacing w:before="120"/>
    </w:pPr>
    <w:r>
      <w:t>[901</w:t>
    </w:r>
    <w:r w:rsidR="00E77D81">
      <w:t>-</w:t>
    </w:r>
    <w:r w:rsidR="00E77D81">
      <w:fldChar w:fldCharType="begin"/>
    </w:r>
    <w:r w:rsidR="00E77D81">
      <w:instrText xml:space="preserve"> PAGE  \* MERGEFORMAT </w:instrText>
    </w:r>
    <w:r w:rsidR="00E77D81">
      <w:fldChar w:fldCharType="separate"/>
    </w:r>
    <w:r w:rsidR="005B1A90">
      <w:rPr>
        <w:noProof/>
      </w:rPr>
      <w:t>1</w:t>
    </w:r>
    <w:r w:rsidR="00E77D81">
      <w:fldChar w:fldCharType="end"/>
    </w:r>
    <w:r w:rsidR="00E77D8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3D28" w14:textId="77777777" w:rsidR="00E77D81" w:rsidRPr="00F94704" w:rsidRDefault="00E77D81" w:rsidP="00F94704">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5B1A90">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AD85" w14:textId="77777777" w:rsidR="00BF4FD7" w:rsidRDefault="00BF4FD7" w:rsidP="009F0C77">
      <w:r>
        <w:separator/>
      </w:r>
    </w:p>
  </w:footnote>
  <w:footnote w:type="continuationSeparator" w:id="0">
    <w:p w14:paraId="01AA97D0" w14:textId="77777777" w:rsidR="00BF4FD7" w:rsidRDefault="00BF4FD7"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A63D9"/>
    <w:multiLevelType w:val="hybridMultilevel"/>
    <w:tmpl w:val="77C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446SA22"/>
    <w:docVar w:name="CoverBillType" w:val="b"/>
    <w:docVar w:name="DocPath" w:val="L:\Council\bills\JN\3446SA22.DOCX"/>
    <w:docVar w:name="dvBillNumber" w:val="901"/>
    <w:docVar w:name="dvBillNumberPrefix" w:val="S. "/>
    <w:docVar w:name="dvOriginalBody" w:val="Senate"/>
    <w:docVar w:name="dvSteno" w:val="JN"/>
    <w:docVar w:name="NameofBody" w:val="s"/>
    <w:docVar w:name="vGroup2" w:val="Council"/>
  </w:docVars>
  <w:rsids>
    <w:rsidRoot w:val="00BF4FD7"/>
    <w:rsid w:val="000263D9"/>
    <w:rsid w:val="00026C9A"/>
    <w:rsid w:val="00074706"/>
    <w:rsid w:val="000965A1"/>
    <w:rsid w:val="000C487D"/>
    <w:rsid w:val="000E13C8"/>
    <w:rsid w:val="000E1785"/>
    <w:rsid w:val="000F39F2"/>
    <w:rsid w:val="001023A4"/>
    <w:rsid w:val="0010776B"/>
    <w:rsid w:val="00133E66"/>
    <w:rsid w:val="00134ACF"/>
    <w:rsid w:val="00144E15"/>
    <w:rsid w:val="001905A1"/>
    <w:rsid w:val="001A4A62"/>
    <w:rsid w:val="001A681E"/>
    <w:rsid w:val="001D08F2"/>
    <w:rsid w:val="001F7338"/>
    <w:rsid w:val="00202145"/>
    <w:rsid w:val="002037CA"/>
    <w:rsid w:val="002047A2"/>
    <w:rsid w:val="0021530B"/>
    <w:rsid w:val="002321B6"/>
    <w:rsid w:val="0023606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5FD"/>
    <w:rsid w:val="004B2A8B"/>
    <w:rsid w:val="004C6ED8"/>
    <w:rsid w:val="004E75F3"/>
    <w:rsid w:val="0050464E"/>
    <w:rsid w:val="00511EE9"/>
    <w:rsid w:val="00521E00"/>
    <w:rsid w:val="0055433F"/>
    <w:rsid w:val="00577C6C"/>
    <w:rsid w:val="0058501B"/>
    <w:rsid w:val="005B1A90"/>
    <w:rsid w:val="005C5AC4"/>
    <w:rsid w:val="0061228A"/>
    <w:rsid w:val="006215AA"/>
    <w:rsid w:val="006340D9"/>
    <w:rsid w:val="00643B8E"/>
    <w:rsid w:val="00653ECC"/>
    <w:rsid w:val="00665EBC"/>
    <w:rsid w:val="00680479"/>
    <w:rsid w:val="0069470D"/>
    <w:rsid w:val="006A476C"/>
    <w:rsid w:val="006B2728"/>
    <w:rsid w:val="006C6A93"/>
    <w:rsid w:val="006E02F9"/>
    <w:rsid w:val="006F3F76"/>
    <w:rsid w:val="00753C04"/>
    <w:rsid w:val="00756946"/>
    <w:rsid w:val="00756BE4"/>
    <w:rsid w:val="00757F80"/>
    <w:rsid w:val="00771EEC"/>
    <w:rsid w:val="00786819"/>
    <w:rsid w:val="007A325A"/>
    <w:rsid w:val="007C3099"/>
    <w:rsid w:val="007E72BE"/>
    <w:rsid w:val="007F1523"/>
    <w:rsid w:val="007F509E"/>
    <w:rsid w:val="007F5799"/>
    <w:rsid w:val="007F6947"/>
    <w:rsid w:val="00834A12"/>
    <w:rsid w:val="00872729"/>
    <w:rsid w:val="008D24DB"/>
    <w:rsid w:val="008F4429"/>
    <w:rsid w:val="00932670"/>
    <w:rsid w:val="009352BB"/>
    <w:rsid w:val="00990668"/>
    <w:rsid w:val="009A5996"/>
    <w:rsid w:val="009B397B"/>
    <w:rsid w:val="009E367C"/>
    <w:rsid w:val="009F0C77"/>
    <w:rsid w:val="009F4DD1"/>
    <w:rsid w:val="00A25CA3"/>
    <w:rsid w:val="00A62CF6"/>
    <w:rsid w:val="00A64E80"/>
    <w:rsid w:val="00A741D9"/>
    <w:rsid w:val="00A85589"/>
    <w:rsid w:val="00A9741D"/>
    <w:rsid w:val="00AB0576"/>
    <w:rsid w:val="00AD4B17"/>
    <w:rsid w:val="00B26FA6"/>
    <w:rsid w:val="00B70B25"/>
    <w:rsid w:val="00B741CB"/>
    <w:rsid w:val="00B87AF8"/>
    <w:rsid w:val="00B934F3"/>
    <w:rsid w:val="00BB6347"/>
    <w:rsid w:val="00BD2134"/>
    <w:rsid w:val="00BD5BDA"/>
    <w:rsid w:val="00BF4FD7"/>
    <w:rsid w:val="00C038D8"/>
    <w:rsid w:val="00C045DD"/>
    <w:rsid w:val="00C171DD"/>
    <w:rsid w:val="00C3136F"/>
    <w:rsid w:val="00C3483A"/>
    <w:rsid w:val="00C74E9D"/>
    <w:rsid w:val="00C82FD3"/>
    <w:rsid w:val="00CC6B7B"/>
    <w:rsid w:val="00CD3619"/>
    <w:rsid w:val="00CF4447"/>
    <w:rsid w:val="00D238E3"/>
    <w:rsid w:val="00D239F9"/>
    <w:rsid w:val="00D24C61"/>
    <w:rsid w:val="00D34676"/>
    <w:rsid w:val="00D405E7"/>
    <w:rsid w:val="00D40DD2"/>
    <w:rsid w:val="00D41D56"/>
    <w:rsid w:val="00D6260D"/>
    <w:rsid w:val="00D6662B"/>
    <w:rsid w:val="00D95E2F"/>
    <w:rsid w:val="00D970A9"/>
    <w:rsid w:val="00DB3AC0"/>
    <w:rsid w:val="00DC6813"/>
    <w:rsid w:val="00DE68F0"/>
    <w:rsid w:val="00DF3845"/>
    <w:rsid w:val="00DF7E17"/>
    <w:rsid w:val="00E10A74"/>
    <w:rsid w:val="00E437DA"/>
    <w:rsid w:val="00E56A0F"/>
    <w:rsid w:val="00E63093"/>
    <w:rsid w:val="00E77D81"/>
    <w:rsid w:val="00EB00A2"/>
    <w:rsid w:val="00EB1BF3"/>
    <w:rsid w:val="00EB6310"/>
    <w:rsid w:val="00EF3EEE"/>
    <w:rsid w:val="00F0230D"/>
    <w:rsid w:val="00F149A7"/>
    <w:rsid w:val="00F500EE"/>
    <w:rsid w:val="00F50BAF"/>
    <w:rsid w:val="00F52C10"/>
    <w:rsid w:val="00F81FFD"/>
    <w:rsid w:val="00F85228"/>
    <w:rsid w:val="00F907F7"/>
    <w:rsid w:val="00F947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C327B"/>
  <w15:docId w15:val="{E5F009C3-5114-42BF-8848-1EACEF0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A8F8F-801F-4CE2-8E5C-8BE926A1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2753</Words>
  <Characters>13962</Characters>
  <Application>Microsoft Office Word</Application>
  <DocSecurity>0</DocSecurity>
  <Lines>334</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901 Text of Previous Version (May 11, 2022) - South Carolina Legislature Online</dc:title>
  <dc:subject/>
  <dc:creator>Julie Newboult</dc:creator>
  <cp:keywords/>
  <dc:description/>
  <cp:lastModifiedBy>Miriam Cook</cp:lastModifiedBy>
  <cp:revision>2</cp:revision>
  <cp:lastPrinted>2021-11-15T16:22:00Z</cp:lastPrinted>
  <dcterms:created xsi:type="dcterms:W3CDTF">2022-05-12T00:10:00Z</dcterms:created>
  <dcterms:modified xsi:type="dcterms:W3CDTF">2022-05-12T00:10:00Z</dcterms:modified>
</cp:coreProperties>
</file>