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5826" w:rsidRP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Pr="00C55826" w:rsidRDefault="00C55826" w:rsidP="00C55826">
      <w:pPr>
        <w:tabs>
          <w:tab w:val="right" w:pos="5933"/>
        </w:tabs>
        <w:suppressAutoHyphens/>
      </w:pPr>
      <w:r>
        <w:tab/>
      </w:r>
      <w:r>
        <w:rPr>
          <w:b/>
          <w:sz w:val="36"/>
        </w:rPr>
        <w:t>S. 984</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Massey and Gustafson</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C55826" w:rsidRP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P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984) </w:t>
      </w:r>
      <w:r w:rsidRPr="00C55826">
        <w:rPr>
          <w:color w:val="000000" w:themeColor="text1"/>
          <w:u w:color="000000" w:themeColor="text1"/>
        </w:rPr>
        <w:t>to amend Section 6</w:t>
      </w:r>
      <w:r w:rsidRPr="00C55826">
        <w:rPr>
          <w:color w:val="000000" w:themeColor="text1"/>
          <w:u w:color="000000" w:themeColor="text1"/>
        </w:rPr>
        <w:noBreakHyphen/>
        <w:t>1</w:t>
      </w:r>
      <w:r w:rsidRPr="00C55826">
        <w:rPr>
          <w:color w:val="000000" w:themeColor="text1"/>
          <w:u w:color="000000" w:themeColor="text1"/>
        </w:rPr>
        <w:noBreakHyphen/>
        <w:t>300, Code of Laws of South Carolina, 1976, relating to definitions pertaining to the authority of local governments to assess taxes and fees</w:t>
      </w:r>
      <w:r>
        <w:t>, etc., respectfully</w:t>
      </w:r>
    </w:p>
    <w:p w:rsidR="00C55826" w:rsidRP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55826" w:rsidRP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5826" w:rsidSect="00C558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5E8E" w:rsidRDefault="00A85E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73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2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57EF">
        <w:rPr>
          <w:color w:val="000000" w:themeColor="text1"/>
          <w:u w:color="000000" w:themeColor="text1"/>
        </w:rPr>
        <w:t>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 CODE OF LAWS OF SOUTH CAROLINA, 1976, RELATING TO DEFINITIONS PERTAINING TO THE AUTHORITY OF LOCAL GOVERNMENTS TO ASSESS TAXES AND FEES, SO AS TO PROVIDE THAT A SERVICE OR USER FEE MUST BE USED TO THE NONEXCLUSIVE BENEFIT OF THE PAYERS; AND 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 RELATING TO A SERVICE OR USER FEE, SO AS TO PROVIDE THAT A PROVISION APPLIES TO AN ENTIRE ARTICLE.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1.</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300(6) of the 1976 Code is amended to read: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t>“(6)</w:t>
      </w:r>
      <w:r w:rsidRPr="008D57EF">
        <w:rPr>
          <w:color w:val="000000" w:themeColor="text1"/>
          <w:u w:color="000000" w:themeColor="text1"/>
        </w:rPr>
        <w:tab/>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means a charge required to be paid in return for a particular government service or program </w:t>
      </w:r>
      <w:r w:rsidRPr="008D57EF">
        <w:rPr>
          <w:strike/>
          <w:color w:val="000000" w:themeColor="text1"/>
          <w:u w:color="000000" w:themeColor="text1"/>
        </w:rPr>
        <w:t>made available to the payer that benefits the payer in some manner different from the members of the general public not paying the fee</w:t>
      </w:r>
      <w:r w:rsidRPr="008D57EF">
        <w:rPr>
          <w:color w:val="000000" w:themeColor="text1"/>
          <w:u w:color="000000" w:themeColor="text1"/>
        </w:rPr>
        <w:t xml:space="preserve">.  </w:t>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also includes </w:t>
      </w:r>
      <w:r>
        <w:rPr>
          <w:color w:val="000000" w:themeColor="text1"/>
          <w:u w:color="000000" w:themeColor="text1"/>
        </w:rPr>
        <w:t>‘</w:t>
      </w:r>
      <w:r w:rsidRPr="008D57EF">
        <w:rPr>
          <w:color w:val="000000" w:themeColor="text1"/>
          <w:u w:color="000000" w:themeColor="text1"/>
        </w:rPr>
        <w:t>uniform service charges</w:t>
      </w:r>
      <w:r>
        <w:rPr>
          <w:color w:val="000000" w:themeColor="text1"/>
          <w:u w:color="000000" w:themeColor="text1"/>
        </w:rPr>
        <w:t>’</w:t>
      </w:r>
      <w:r w:rsidRPr="008D57EF">
        <w:rPr>
          <w:color w:val="000000" w:themeColor="text1"/>
          <w:u w:color="000000" w:themeColor="text1"/>
        </w:rPr>
        <w:t xml:space="preserve">. </w:t>
      </w:r>
      <w:r w:rsidRPr="008D57EF">
        <w:rPr>
          <w:color w:val="000000" w:themeColor="text1"/>
          <w:u w:val="single" w:color="000000" w:themeColor="text1"/>
        </w:rPr>
        <w:t>The revenue generated from the fee must:</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(a)</w:t>
      </w:r>
      <w:r w:rsidRPr="008D57EF">
        <w:rPr>
          <w:color w:val="000000" w:themeColor="text1"/>
          <w:u w:color="000000" w:themeColor="text1"/>
        </w:rPr>
        <w:tab/>
      </w:r>
      <w:r w:rsidRPr="008D57EF">
        <w:rPr>
          <w:color w:val="000000" w:themeColor="text1"/>
          <w:u w:val="single" w:color="000000" w:themeColor="text1"/>
        </w:rPr>
        <w:t>be used to the benefit of the payers, even if the general public also benefits;</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(b)</w:t>
      </w:r>
      <w:r w:rsidRPr="008D57EF">
        <w:rPr>
          <w:color w:val="000000" w:themeColor="text1"/>
          <w:u w:color="000000" w:themeColor="text1"/>
        </w:rPr>
        <w:tab/>
      </w:r>
      <w:r w:rsidRPr="008D57EF">
        <w:rPr>
          <w:color w:val="000000" w:themeColor="text1"/>
          <w:u w:val="single" w:color="000000" w:themeColor="text1"/>
        </w:rPr>
        <w:t>only be used for the specific improvement contemplated;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(c)</w:t>
      </w:r>
      <w:r w:rsidRPr="008D57EF">
        <w:rPr>
          <w:color w:val="000000" w:themeColor="text1"/>
          <w:u w:color="000000" w:themeColor="text1"/>
        </w:rPr>
        <w:tab/>
      </w:r>
      <w:r w:rsidRPr="008D57EF">
        <w:rPr>
          <w:color w:val="000000" w:themeColor="text1"/>
          <w:u w:val="single" w:color="000000" w:themeColor="text1"/>
        </w:rPr>
        <w:t>not exceed the cost of the improvement; and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(d)</w:t>
      </w:r>
      <w:r w:rsidRPr="008D57EF">
        <w:rPr>
          <w:color w:val="000000" w:themeColor="text1"/>
          <w:u w:color="000000" w:themeColor="text1"/>
        </w:rPr>
        <w:tab/>
      </w:r>
      <w:r w:rsidRPr="008D57EF">
        <w:rPr>
          <w:color w:val="000000" w:themeColor="text1"/>
          <w:u w:val="single" w:color="000000" w:themeColor="text1"/>
        </w:rPr>
        <w:t>be uniformly imposed on all payers.</w:t>
      </w:r>
      <w:r w:rsidRPr="008D57EF">
        <w:rPr>
          <w:color w:val="000000" w:themeColor="text1"/>
          <w:u w:color="000000" w:themeColor="text1"/>
        </w:rPr>
        <w:t xml:space="preserve">”  </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2.</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330(A) of the 1976 Code is amended to read:</w:t>
      </w:r>
    </w:p>
    <w:p w:rsidR="00863200" w:rsidRPr="008D57EF"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lastRenderedPageBreak/>
        <w:tab/>
        <w:t>“(A)</w:t>
      </w:r>
      <w:r w:rsidRPr="008D57EF">
        <w:rPr>
          <w:color w:val="000000" w:themeColor="text1"/>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8D57EF">
        <w:rPr>
          <w:strike/>
          <w:color w:val="000000" w:themeColor="text1"/>
          <w:u w:color="000000" w:themeColor="text1"/>
        </w:rPr>
        <w:t>section</w:t>
      </w:r>
      <w:r w:rsidRPr="008D57EF">
        <w:rPr>
          <w:color w:val="000000" w:themeColor="text1"/>
          <w:u w:color="000000" w:themeColor="text1"/>
        </w:rPr>
        <w:t xml:space="preserve"> </w:t>
      </w:r>
      <w:r w:rsidRPr="008D57EF">
        <w:rPr>
          <w:color w:val="000000" w:themeColor="text1"/>
          <w:u w:val="single" w:color="000000" w:themeColor="text1"/>
        </w:rPr>
        <w:t>article</w:t>
      </w:r>
      <w:r w:rsidRPr="008D57EF">
        <w:rPr>
          <w:color w:val="000000" w:themeColor="text1"/>
          <w:u w:color="000000" w:themeColor="text1"/>
        </w:rPr>
        <w:t>.”</w:t>
      </w:r>
    </w:p>
    <w:p w:rsidR="00863200" w:rsidRPr="008D57EF"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3E1"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57EF">
        <w:rPr>
          <w:color w:val="000000" w:themeColor="text1"/>
          <w:u w:color="000000" w:themeColor="text1"/>
        </w:rPr>
        <w:t>SECTION</w:t>
      </w:r>
      <w:r w:rsidRPr="008D57EF">
        <w:rPr>
          <w:color w:val="000000" w:themeColor="text1"/>
          <w:u w:color="000000" w:themeColor="text1"/>
        </w:rPr>
        <w:tab/>
        <w:t>3.</w:t>
      </w:r>
      <w:r w:rsidRPr="008D57EF">
        <w:rPr>
          <w:color w:val="000000" w:themeColor="text1"/>
          <w:u w:color="000000" w:themeColor="text1"/>
        </w:rPr>
        <w:tab/>
        <w:t>This act takes effect upon approval by the Governor and applies retroactively to any service or user fee imposed after December 31, 1996.</w:t>
      </w:r>
    </w:p>
    <w:p w:rsidR="009A0CC4" w:rsidRDefault="00863200" w:rsidP="00FC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496" w:rsidRDefault="00074496" w:rsidP="00074496">
      <w:pPr>
        <w:suppressAutoHyphens/>
      </w:pPr>
    </w:p>
    <w:sectPr w:rsidR="00074496" w:rsidSect="00C55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3E1" w:rsidRDefault="005873E1" w:rsidP="009F0C77">
      <w:r>
        <w:separator/>
      </w:r>
    </w:p>
  </w:endnote>
  <w:endnote w:type="continuationSeparator" w:id="0">
    <w:p w:rsidR="005873E1" w:rsidRDefault="00587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C38C7C-0EF4-4D56-96E8-D7D19386DD2A}"/>
    <w:embedBold r:id="rId2" w:fontKey="{657D5CD6-ED51-4F1B-B853-1E755A2F8968}"/>
  </w:font>
  <w:font w:name="Calibri">
    <w:panose1 w:val="020F0502020204030204"/>
    <w:charset w:val="00"/>
    <w:family w:val="swiss"/>
    <w:pitch w:val="variable"/>
    <w:sig w:usb0="E4002EFF" w:usb1="C000247B" w:usb2="00000009" w:usb3="00000000" w:csb0="000001FF" w:csb1="00000000"/>
    <w:embedRegular r:id="rId3" w:fontKey="{E3585D90-01E5-4A14-B2F1-C7ECEBC4DF11}"/>
  </w:font>
  <w:font w:name="Segoe UI">
    <w:panose1 w:val="020B0502040204020203"/>
    <w:charset w:val="00"/>
    <w:family w:val="swiss"/>
    <w:pitch w:val="variable"/>
    <w:sig w:usb0="E4002EFF" w:usb1="C000E47F" w:usb2="00000009" w:usb3="00000000" w:csb0="000001FF" w:csb1="00000000"/>
    <w:embedRegular r:id="rId4" w:fontKey="{BB01E851-E289-4260-96FA-50833036D997}"/>
  </w:font>
  <w:font w:name="Cambria">
    <w:panose1 w:val="02040503050406030204"/>
    <w:charset w:val="00"/>
    <w:family w:val="roman"/>
    <w:pitch w:val="variable"/>
    <w:sig w:usb0="E00006FF" w:usb1="420024FF" w:usb2="02000000" w:usb3="00000000" w:csb0="0000019F" w:csb1="00000000"/>
    <w:embedRegular r:id="rId5" w:fontKey="{AFC384E2-50A0-4945-ABB6-EECFFE891A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CC4" w:rsidRPr="00A85E8E" w:rsidRDefault="00A85E8E" w:rsidP="00A85E8E">
    <w:pPr>
      <w:pStyle w:val="Footer"/>
      <w:tabs>
        <w:tab w:val="clear" w:pos="4680"/>
        <w:tab w:val="clear" w:pos="9360"/>
        <w:tab w:val="center" w:pos="2995"/>
      </w:tabs>
      <w:spacing w:before="120"/>
    </w:pPr>
    <w:r>
      <w:t>[984</w:t>
    </w:r>
    <w:r w:rsidR="00C55826">
      <w:t>-</w:t>
    </w:r>
    <w:r w:rsidR="00C55826">
      <w:fldChar w:fldCharType="begin"/>
    </w:r>
    <w:r w:rsidR="00C55826">
      <w:instrText xml:space="preserve"> PAGE  \* MERGEFORMAT </w:instrText>
    </w:r>
    <w:r w:rsidR="00C55826">
      <w:fldChar w:fldCharType="separate"/>
    </w:r>
    <w:r w:rsidR="000F39CE">
      <w:rPr>
        <w:noProof/>
      </w:rPr>
      <w:t>1</w:t>
    </w:r>
    <w:r w:rsidR="00C55826">
      <w:fldChar w:fldCharType="end"/>
    </w:r>
    <w:r w:rsidR="00C5582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826" w:rsidRPr="00A85E8E" w:rsidRDefault="00C55826" w:rsidP="00A85E8E">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sidR="000744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3E1" w:rsidRDefault="005873E1" w:rsidP="009F0C77">
      <w:r>
        <w:separator/>
      </w:r>
    </w:p>
  </w:footnote>
  <w:footnote w:type="continuationSeparator" w:id="0">
    <w:p w:rsidR="005873E1" w:rsidRDefault="00587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9DG22"/>
    <w:docVar w:name="CoverBillType" w:val="b"/>
    <w:docVar w:name="DocPath" w:val="L:\Council\bills\NBD\11309DG22.DOCX"/>
    <w:docVar w:name="dvBillNumber" w:val="984"/>
    <w:docVar w:name="dvBillNumberPrefix" w:val="S. "/>
    <w:docVar w:name="dvOriginalBody" w:val="Senate"/>
    <w:docVar w:name="dvSteno" w:val="NBD"/>
    <w:docVar w:name="NameofBody" w:val="s"/>
    <w:docVar w:name="vGroup2" w:val="Council"/>
  </w:docVars>
  <w:rsids>
    <w:rsidRoot w:val="005873E1"/>
    <w:rsid w:val="000263D9"/>
    <w:rsid w:val="00026C9A"/>
    <w:rsid w:val="00074496"/>
    <w:rsid w:val="000965A1"/>
    <w:rsid w:val="000C487D"/>
    <w:rsid w:val="000E1785"/>
    <w:rsid w:val="000F39CE"/>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96C"/>
    <w:rsid w:val="00393688"/>
    <w:rsid w:val="003D411E"/>
    <w:rsid w:val="003E3C1E"/>
    <w:rsid w:val="003E6148"/>
    <w:rsid w:val="003E7D04"/>
    <w:rsid w:val="003F1CAF"/>
    <w:rsid w:val="00400EAA"/>
    <w:rsid w:val="0041760A"/>
    <w:rsid w:val="004203D7"/>
    <w:rsid w:val="00423F46"/>
    <w:rsid w:val="00461588"/>
    <w:rsid w:val="004809EE"/>
    <w:rsid w:val="004B2A8B"/>
    <w:rsid w:val="00511EE9"/>
    <w:rsid w:val="00521E00"/>
    <w:rsid w:val="005415B2"/>
    <w:rsid w:val="00577C6C"/>
    <w:rsid w:val="0058501B"/>
    <w:rsid w:val="005873E1"/>
    <w:rsid w:val="005C060A"/>
    <w:rsid w:val="005C2EA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200"/>
    <w:rsid w:val="00872729"/>
    <w:rsid w:val="008F4429"/>
    <w:rsid w:val="00932670"/>
    <w:rsid w:val="009352BB"/>
    <w:rsid w:val="00990668"/>
    <w:rsid w:val="009A0CC4"/>
    <w:rsid w:val="009B397B"/>
    <w:rsid w:val="009F0C77"/>
    <w:rsid w:val="009F4DD1"/>
    <w:rsid w:val="00A64E80"/>
    <w:rsid w:val="00A741D9"/>
    <w:rsid w:val="00A85589"/>
    <w:rsid w:val="00A85E8E"/>
    <w:rsid w:val="00A9741D"/>
    <w:rsid w:val="00AB0576"/>
    <w:rsid w:val="00AD4B17"/>
    <w:rsid w:val="00B26FA6"/>
    <w:rsid w:val="00B741CB"/>
    <w:rsid w:val="00B87AF8"/>
    <w:rsid w:val="00B934F3"/>
    <w:rsid w:val="00BB6347"/>
    <w:rsid w:val="00BD2134"/>
    <w:rsid w:val="00C038D8"/>
    <w:rsid w:val="00C045DD"/>
    <w:rsid w:val="00C3136F"/>
    <w:rsid w:val="00C3483A"/>
    <w:rsid w:val="00C5582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5638"/>
    <w:rsid w:val="00EF3EEE"/>
    <w:rsid w:val="00F149A7"/>
    <w:rsid w:val="00F50BAF"/>
    <w:rsid w:val="00F52C10"/>
    <w:rsid w:val="00F56151"/>
    <w:rsid w:val="00F81FFD"/>
    <w:rsid w:val="00F85228"/>
    <w:rsid w:val="00F907B4"/>
    <w:rsid w:val="00F907F7"/>
    <w:rsid w:val="00FB6773"/>
    <w:rsid w:val="00FC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5ED94-3434-42E4-B2CB-CBA6549B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1BC1C-A2E7-47CD-90DC-38CDBFC0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2214</Characters>
  <Application>Microsoft Office Word</Application>
  <DocSecurity>0</DocSecurity>
  <Lines>85</Lines>
  <Paragraphs>26</Paragraphs>
  <ScaleCrop>false</ScaleCrop>
  <HeadingPairs>
    <vt:vector size="2" baseType="variant">
      <vt:variant>
        <vt:lpstr>Title</vt:lpstr>
      </vt:variant>
      <vt:variant>
        <vt:i4>1</vt:i4>
      </vt:variant>
    </vt:vector>
  </HeadingPairs>
  <TitlesOfParts>
    <vt:vector size="1" baseType="lpstr">
      <vt:lpstr>2021-2022 Bill 984 Text of Previous Version (Jan. 13, 2022) - South Carolina Legislature Online</vt:lpstr>
    </vt:vector>
  </TitlesOfParts>
  <Company>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984 Text of Previous Version (Mar. 29, 2022) - South Carolina Legislature Online</dc:title>
  <dc:subject/>
  <dc:creator>Niki Downey</dc:creator>
  <cp:keywords/>
  <dc:description/>
  <cp:lastModifiedBy>Miriam Cook</cp:lastModifiedBy>
  <cp:revision>2</cp:revision>
  <cp:lastPrinted>2022-01-13T13:39:00Z</cp:lastPrinted>
  <dcterms:created xsi:type="dcterms:W3CDTF">2022-03-29T23:45:00Z</dcterms:created>
  <dcterms:modified xsi:type="dcterms:W3CDTF">2022-03-29T23:45:00Z</dcterms:modified>
</cp:coreProperties>
</file>