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SJ-0003MF23.docx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Conditional Discharge for Open Container Offenses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ce7ceb46add4441">
        <w:r w:rsidRPr="00770434">
          <w:rPr>
            <w:rStyle w:val="Hyperlink"/>
          </w:rPr>
          <w:t>Senate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d244066a83da49eb">
        <w:r w:rsidRPr="00770434">
          <w:rPr>
            <w:rStyle w:val="Hyperlink"/>
          </w:rPr>
          <w:t>Senate Journal</w:t>
        </w:r>
        <w:r w:rsidRPr="00770434">
          <w:rPr>
            <w:rStyle w:val="Hyperlink"/>
          </w:rPr>
          <w:noBreakHyphen/>
          <w:t>page 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71f18e2eb542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044283a70847dd">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C7A10" w14:paraId="40FEFADA" w14:textId="21BD2060">
          <w:pPr>
            <w:pStyle w:val="scbilltitle"/>
            <w:tabs>
              <w:tab w:val="left" w:pos="2104"/>
            </w:tabs>
          </w:pPr>
          <w:r>
            <w:t>to amend the South Carolina Code of Laws by adding Section 61</w:t>
          </w:r>
          <w:r w:rsidR="00916C7D">
            <w:noBreakHyphen/>
          </w:r>
          <w:r>
            <w:t>6</w:t>
          </w:r>
          <w:r w:rsidR="00916C7D">
            <w:noBreakHyphen/>
          </w:r>
          <w:r>
            <w:t>4725 relating to the alcoholic beverage control act, so as to permit conditional discharge of first</w:t>
          </w:r>
          <w:r w:rsidR="00916C7D">
            <w:noBreakHyphen/>
          </w:r>
          <w:r>
            <w:t>time offenders under section 61</w:t>
          </w:r>
          <w:r w:rsidR="00916C7D">
            <w:noBreakHyphen/>
          </w:r>
          <w:r>
            <w:t>6</w:t>
          </w:r>
          <w:r w:rsidR="00916C7D">
            <w:noBreakHyphen/>
          </w:r>
          <w:r>
            <w:t>4720 and to permit county and municipal prosecutors to conditionally discharge first</w:t>
          </w:r>
          <w:r w:rsidR="00916C7D">
            <w:noBreakHyphen/>
          </w:r>
          <w:r>
            <w:t>time offenders of county or municipal open container offenses, and to permit expungement of such offenses.</w:t>
          </w:r>
        </w:p>
      </w:sdtContent>
    </w:sdt>
    <w:bookmarkStart w:name="at_91377652a" w:displacedByCustomXml="prev" w:id="0"/>
    <w:bookmarkEnd w:id="0"/>
    <w:p w:rsidRPr="00DF3B44" w:rsidR="006C18F0" w:rsidP="006C18F0" w:rsidRDefault="006C18F0" w14:paraId="5BAAC1B7" w14:textId="77777777">
      <w:pPr>
        <w:pStyle w:val="scbillwhereasclause"/>
      </w:pPr>
    </w:p>
    <w:p w:rsidR="002340A5" w:rsidP="002340A5" w:rsidRDefault="002340A5" w14:paraId="1437D9BC" w14:textId="77777777">
      <w:pPr>
        <w:pStyle w:val="scenactingwords"/>
      </w:pPr>
      <w:bookmarkStart w:name="ew_4ac6680e7" w:id="1"/>
      <w:r>
        <w:rPr>
          <w:rFonts w:eastAsia="Times New Roman"/>
        </w:rPr>
        <w:t>B</w:t>
      </w:r>
      <w:bookmarkEnd w:id="1"/>
      <w:r>
        <w:rPr>
          <w:rFonts w:eastAsia="Times New Roman"/>
        </w:rPr>
        <w:t>e it enacted by the General Assembly of the State of South Carolina:</w:t>
      </w:r>
    </w:p>
    <w:p w:rsidR="002340A5" w:rsidP="002340A5" w:rsidRDefault="002340A5" w14:paraId="3DA8C3C2" w14:textId="77777777">
      <w:pPr>
        <w:pStyle w:val="scemptyline"/>
      </w:pPr>
    </w:p>
    <w:p w:rsidR="002340A5" w:rsidP="002340A5" w:rsidRDefault="002340A5" w14:paraId="0E6AC7BD" w14:textId="77777777">
      <w:pPr>
        <w:pStyle w:val="scdirectionallanguage"/>
      </w:pPr>
      <w:bookmarkStart w:name="bs_num_1_036fccb6f" w:id="2"/>
      <w:r>
        <w:rPr>
          <w:rFonts w:eastAsia="Times New Roman"/>
        </w:rPr>
        <w:t>S</w:t>
      </w:r>
      <w:bookmarkEnd w:id="2"/>
      <w:r>
        <w:t xml:space="preserve">ECTION </w:t>
      </w:r>
      <w:r>
        <w:rPr>
          <w:rFonts w:eastAsia="Times New Roman"/>
        </w:rPr>
        <w:t>1.</w:t>
      </w:r>
      <w:r>
        <w:rPr>
          <w:rFonts w:eastAsia="Times New Roman"/>
        </w:rPr>
        <w:tab/>
      </w:r>
      <w:bookmarkStart w:name="dl_490493b08" w:id="3"/>
      <w:r w:rsidRPr="00460474">
        <w:rPr>
          <w:rFonts w:eastAsia="Times New Roman"/>
        </w:rPr>
        <w:t>A</w:t>
      </w:r>
      <w:bookmarkEnd w:id="3"/>
      <w:r>
        <w:t>rticle 13,</w:t>
      </w:r>
      <w:r>
        <w:rPr>
          <w:rFonts w:eastAsia="Times New Roman"/>
        </w:rPr>
        <w:t xml:space="preserve"> Chapter 6,</w:t>
      </w:r>
      <w:r w:rsidRPr="00460474">
        <w:rPr>
          <w:rFonts w:eastAsia="Times New Roman"/>
        </w:rPr>
        <w:t xml:space="preserve"> Title 61</w:t>
      </w:r>
      <w:r>
        <w:rPr>
          <w:rFonts w:eastAsia="Times New Roman"/>
        </w:rPr>
        <w:t>,</w:t>
      </w:r>
      <w:r w:rsidRPr="00460474">
        <w:rPr>
          <w:rFonts w:eastAsia="Times New Roman"/>
        </w:rPr>
        <w:t xml:space="preserve"> of the 1976 Code is amended by adding:</w:t>
      </w:r>
    </w:p>
    <w:p w:rsidR="002340A5" w:rsidP="002340A5" w:rsidRDefault="002340A5" w14:paraId="317D6478" w14:textId="77777777">
      <w:pPr>
        <w:pStyle w:val="scemptyline"/>
      </w:pPr>
    </w:p>
    <w:p w:rsidRPr="00460474" w:rsidR="002340A5" w:rsidP="002340A5" w:rsidRDefault="002340A5" w14:paraId="32841C06" w14:textId="75437A85">
      <w:pPr>
        <w:pStyle w:val="scnewcodesection"/>
      </w:pPr>
      <w:r>
        <w:tab/>
      </w:r>
      <w:bookmarkStart w:name="ns_T61C6N4725_e2f153e4c" w:id="4"/>
      <w:r w:rsidRPr="00460474">
        <w:rPr>
          <w:rFonts w:eastAsia="Times New Roman"/>
        </w:rPr>
        <w:t>S</w:t>
      </w:r>
      <w:bookmarkEnd w:id="4"/>
      <w:r>
        <w:t xml:space="preserve">ection </w:t>
      </w:r>
      <w:r w:rsidRPr="00B30AE5">
        <w:rPr>
          <w:rFonts w:eastAsia="Times New Roman"/>
        </w:rPr>
        <w:t>61</w:t>
      </w:r>
      <w:r w:rsidR="00916C7D">
        <w:rPr>
          <w:rFonts w:eastAsia="Times New Roman"/>
        </w:rPr>
        <w:noBreakHyphen/>
      </w:r>
      <w:r w:rsidRPr="00B30AE5">
        <w:rPr>
          <w:rFonts w:eastAsia="Times New Roman"/>
        </w:rPr>
        <w:t>6</w:t>
      </w:r>
      <w:r w:rsidR="00916C7D">
        <w:rPr>
          <w:rFonts w:eastAsia="Times New Roman"/>
        </w:rPr>
        <w:noBreakHyphen/>
      </w:r>
      <w:r w:rsidRPr="00B30AE5">
        <w:rPr>
          <w:rFonts w:eastAsia="Times New Roman"/>
        </w:rPr>
        <w:t>4725</w:t>
      </w:r>
      <w:r w:rsidRPr="00460474">
        <w:rPr>
          <w:rFonts w:eastAsia="Times New Roman"/>
        </w:rPr>
        <w:t>.</w:t>
      </w:r>
      <w:r w:rsidRPr="00460474">
        <w:rPr>
          <w:rFonts w:eastAsia="Times New Roman"/>
        </w:rPr>
        <w:tab/>
      </w:r>
      <w:bookmarkStart w:name="ss_T61C6N4725SA_lv1_f33c41d2e" w:id="5"/>
      <w:r w:rsidRPr="00460474">
        <w:rPr>
          <w:rFonts w:eastAsia="Times New Roman"/>
        </w:rPr>
        <w:t>(</w:t>
      </w:r>
      <w:bookmarkEnd w:id="5"/>
      <w:r w:rsidRPr="00460474">
        <w:rPr>
          <w:rFonts w:eastAsia="Times New Roman"/>
        </w:rPr>
        <w:t>A)</w:t>
      </w:r>
      <w:r w:rsidRPr="00460474">
        <w:t xml:space="preserve"> </w:t>
      </w:r>
      <w:r w:rsidRPr="00460474">
        <w:rPr>
          <w:rFonts w:eastAsia="Times New Roman"/>
        </w:rPr>
        <w:t>A person charged with an offense under Section 61</w:t>
      </w:r>
      <w:r w:rsidR="00916C7D">
        <w:rPr>
          <w:rFonts w:eastAsia="Times New Roman"/>
        </w:rPr>
        <w:noBreakHyphen/>
      </w:r>
      <w:r w:rsidRPr="00460474">
        <w:rPr>
          <w:rFonts w:eastAsia="Times New Roman"/>
        </w:rPr>
        <w:t>6-4720</w:t>
      </w:r>
      <w:r>
        <w:rPr>
          <w:rFonts w:eastAsia="Times New Roman"/>
        </w:rPr>
        <w:t>,</w:t>
      </w:r>
      <w:r w:rsidRPr="00460474">
        <w:rPr>
          <w:rFonts w:eastAsia="Times New Roman"/>
        </w:rPr>
        <w:t xml:space="preserve"> or with transporting or possessing on his person any beer, wine</w:t>
      </w:r>
      <w:r>
        <w:rPr>
          <w:rFonts w:eastAsia="Times New Roman"/>
        </w:rPr>
        <w:t>,</w:t>
      </w:r>
      <w:r w:rsidRPr="00460474">
        <w:rPr>
          <w:rFonts w:eastAsia="Times New Roman"/>
        </w:rPr>
        <w:t xml:space="preserve"> or alcoholic beverage in an open container or consuming any beer, wine, or alcoholic beverage upon a public way or in a public area under a municipal or county ordinance</w:t>
      </w:r>
      <w:r>
        <w:rPr>
          <w:rFonts w:eastAsia="Times New Roman"/>
        </w:rPr>
        <w:t>,</w:t>
      </w:r>
      <w:r w:rsidRPr="00460474">
        <w:rPr>
          <w:rFonts w:eastAsia="Times New Roman"/>
        </w:rPr>
        <w:t xml:space="preserve"> may be granted conditional discharge pursuant to the provisions of this section upon approval by the appropriate state, county, or municipal prosecutor. </w:t>
      </w:r>
    </w:p>
    <w:p w:rsidRPr="00460474" w:rsidR="002340A5" w:rsidP="002340A5" w:rsidRDefault="002340A5" w14:paraId="1133D026" w14:textId="5EBF9EDD">
      <w:pPr>
        <w:pStyle w:val="scnewcodesection"/>
      </w:pPr>
      <w:r w:rsidRPr="00460474">
        <w:rPr>
          <w:rFonts w:eastAsia="Times New Roman"/>
        </w:rPr>
        <w:tab/>
      </w:r>
      <w:bookmarkStart w:name="ss_T61C6N4725SB_lv1_a875c83d0" w:id="6"/>
      <w:r w:rsidRPr="00460474">
        <w:rPr>
          <w:rFonts w:eastAsia="Times New Roman"/>
        </w:rPr>
        <w:t>(</w:t>
      </w:r>
      <w:bookmarkEnd w:id="6"/>
      <w:r w:rsidRPr="00460474">
        <w:rPr>
          <w:rFonts w:eastAsia="Times New Roman"/>
        </w:rPr>
        <w:t>B)</w:t>
      </w:r>
      <w:bookmarkStart w:name="ss_T61C6N4725S1_lv2_491ce4f27" w:id="7"/>
      <w:r w:rsidRPr="00460474">
        <w:rPr>
          <w:rFonts w:eastAsia="Times New Roman"/>
        </w:rPr>
        <w:t>(</w:t>
      </w:r>
      <w:bookmarkEnd w:id="7"/>
      <w:r w:rsidRPr="00460474">
        <w:rPr>
          <w:rFonts w:eastAsia="Times New Roman"/>
        </w:rPr>
        <w:t>1)</w:t>
      </w:r>
      <w:r w:rsidRPr="00460474">
        <w:t xml:space="preserve"> </w:t>
      </w:r>
      <w:r w:rsidRPr="00460474">
        <w:rPr>
          <w:rFonts w:eastAsia="Times New Roman"/>
        </w:rPr>
        <w:t>When a person who has not previously been convicted of an offense listed in subsection (A) above pleads guilty to or is in violation of such offenses, the court, without entering a judgment of guilty and with the consent of the accused, may defer further proceedings and place him on probation upon terms and conditions as the court requires, including the requirement that the person cooperate in a treatment and rehabilitation program of a state</w:t>
      </w:r>
      <w:r w:rsidR="00916C7D">
        <w:rPr>
          <w:rFonts w:eastAsia="Times New Roman"/>
        </w:rPr>
        <w:noBreakHyphen/>
      </w:r>
      <w:r w:rsidRPr="00460474">
        <w:rPr>
          <w:rFonts w:eastAsia="Times New Roman"/>
        </w:rPr>
        <w:t>supported facility, if available.</w:t>
      </w:r>
    </w:p>
    <w:p w:rsidRPr="00460474" w:rsidR="002340A5" w:rsidP="002340A5" w:rsidRDefault="002340A5" w14:paraId="0BC4FD9A" w14:textId="77777777">
      <w:pPr>
        <w:pStyle w:val="scnewcodesection"/>
      </w:pPr>
      <w:r w:rsidRPr="00460474">
        <w:rPr>
          <w:rFonts w:eastAsia="Times New Roman"/>
        </w:rPr>
        <w:tab/>
      </w:r>
      <w:r w:rsidRPr="00460474">
        <w:rPr>
          <w:rFonts w:eastAsia="Times New Roman"/>
        </w:rPr>
        <w:tab/>
      </w:r>
      <w:bookmarkStart w:name="ss_T61C6N4725S2_lv2_faaeba64a" w:id="8"/>
      <w:r w:rsidRPr="00460474">
        <w:rPr>
          <w:rFonts w:eastAsia="Times New Roman"/>
        </w:rPr>
        <w:t>(</w:t>
      </w:r>
      <w:bookmarkEnd w:id="8"/>
      <w:r w:rsidRPr="00460474">
        <w:rPr>
          <w:rFonts w:eastAsia="Times New Roman"/>
        </w:rPr>
        <w:t>2)</w:t>
      </w:r>
      <w:r w:rsidRPr="00460474">
        <w:t xml:space="preserve"> </w:t>
      </w:r>
      <w:r w:rsidRPr="00460474">
        <w:rPr>
          <w:rFonts w:eastAsia="Times New Roman"/>
        </w:rPr>
        <w:t>Upon violation of a term or condition, the court may enter a judgment of guilty and proceed as otherwise provided.</w:t>
      </w:r>
    </w:p>
    <w:p w:rsidRPr="00460474" w:rsidR="002340A5" w:rsidP="002340A5" w:rsidRDefault="002340A5" w14:paraId="1F41AE7A" w14:textId="77777777">
      <w:pPr>
        <w:pStyle w:val="scnewcodesection"/>
      </w:pPr>
      <w:r w:rsidRPr="00460474">
        <w:rPr>
          <w:rFonts w:eastAsia="Times New Roman"/>
        </w:rPr>
        <w:tab/>
      </w:r>
      <w:r w:rsidRPr="00460474">
        <w:rPr>
          <w:rFonts w:eastAsia="Times New Roman"/>
        </w:rPr>
        <w:tab/>
      </w:r>
      <w:bookmarkStart w:name="ss_T61C6N4725S3_lv2_5a7493f38" w:id="9"/>
      <w:r w:rsidRPr="00460474">
        <w:rPr>
          <w:rFonts w:eastAsia="Times New Roman"/>
        </w:rPr>
        <w:t>(</w:t>
      </w:r>
      <w:bookmarkEnd w:id="9"/>
      <w:r w:rsidRPr="00460474">
        <w:rPr>
          <w:rFonts w:eastAsia="Times New Roman"/>
        </w:rPr>
        <w:t>3)</w:t>
      </w:r>
      <w:r w:rsidRPr="00460474">
        <w:t xml:space="preserve"> </w:t>
      </w:r>
      <w:r w:rsidRPr="00460474">
        <w:rPr>
          <w:rFonts w:eastAsia="Times New Roman"/>
        </w:rPr>
        <w:t xml:space="preserve">Upon fulfillment of the terms and conditions, the court must discharge the person and dismiss the proceedings against him. Discharge and dismissal pursuant to this section is without the court’s adjudication of guilt and is not a conviction for purposes of this section or for purposes of disqualifications or disabilities imposed by law upon conviction of a crime. However, a nonpublic record must be forwarded to and retained by the South Carolina Law Enforcement Division solely for the purpose of use by the courts in determining </w:t>
      </w:r>
      <w:proofErr w:type="gramStart"/>
      <w:r w:rsidRPr="00460474">
        <w:rPr>
          <w:rFonts w:eastAsia="Times New Roman"/>
        </w:rPr>
        <w:t>whether or not</w:t>
      </w:r>
      <w:proofErr w:type="gramEnd"/>
      <w:r w:rsidRPr="00460474">
        <w:rPr>
          <w:rFonts w:eastAsia="Times New Roman"/>
        </w:rPr>
        <w:t xml:space="preserve"> a person has committed a subsequent offense pursuant to this section.</w:t>
      </w:r>
    </w:p>
    <w:p w:rsidRPr="00460474" w:rsidR="002340A5" w:rsidP="002340A5" w:rsidRDefault="002340A5" w14:paraId="35CF3445" w14:textId="77777777">
      <w:pPr>
        <w:pStyle w:val="scnewcodesection"/>
      </w:pPr>
      <w:r w:rsidRPr="00460474">
        <w:rPr>
          <w:rFonts w:eastAsia="Times New Roman"/>
        </w:rPr>
        <w:tab/>
      </w:r>
      <w:r w:rsidRPr="00460474">
        <w:rPr>
          <w:rFonts w:eastAsia="Times New Roman"/>
        </w:rPr>
        <w:tab/>
      </w:r>
      <w:bookmarkStart w:name="ss_T61C6N4725S4_lv2_e8756a2b2" w:id="10"/>
      <w:r w:rsidRPr="00460474">
        <w:rPr>
          <w:rFonts w:eastAsia="Times New Roman"/>
        </w:rPr>
        <w:t>(</w:t>
      </w:r>
      <w:bookmarkEnd w:id="10"/>
      <w:r w:rsidRPr="00460474">
        <w:rPr>
          <w:rFonts w:eastAsia="Times New Roman"/>
        </w:rPr>
        <w:t>4)</w:t>
      </w:r>
      <w:r w:rsidRPr="00460474">
        <w:t xml:space="preserve"> </w:t>
      </w:r>
      <w:r w:rsidRPr="00460474">
        <w:rPr>
          <w:rFonts w:eastAsia="Times New Roman"/>
        </w:rPr>
        <w:t xml:space="preserve">Discharge and dismissal pursuant to this section may occur only once with respect to any </w:t>
      </w:r>
      <w:r w:rsidRPr="00460474">
        <w:rPr>
          <w:rFonts w:eastAsia="Times New Roman"/>
        </w:rPr>
        <w:lastRenderedPageBreak/>
        <w:t>person.</w:t>
      </w:r>
    </w:p>
    <w:p w:rsidRPr="00460474" w:rsidR="002340A5" w:rsidP="002340A5" w:rsidRDefault="002340A5" w14:paraId="69150C83" w14:textId="77777777">
      <w:pPr>
        <w:pStyle w:val="scnewcodesection"/>
      </w:pPr>
      <w:r w:rsidRPr="00460474">
        <w:rPr>
          <w:rFonts w:eastAsia="Times New Roman"/>
        </w:rPr>
        <w:tab/>
      </w:r>
      <w:bookmarkStart w:name="ss_T61C6N4725SC_lv1_2fbf24ee9" w:id="11"/>
      <w:r w:rsidRPr="00460474">
        <w:rPr>
          <w:rFonts w:eastAsia="Times New Roman"/>
        </w:rPr>
        <w:t>(</w:t>
      </w:r>
      <w:bookmarkEnd w:id="11"/>
      <w:r w:rsidRPr="00460474">
        <w:rPr>
          <w:rFonts w:eastAsia="Times New Roman"/>
        </w:rPr>
        <w:t>C)</w:t>
      </w:r>
      <w:r w:rsidRPr="00460474">
        <w:t xml:space="preserve"> </w:t>
      </w:r>
      <w:r w:rsidRPr="00460474">
        <w:rPr>
          <w:rFonts w:eastAsia="Times New Roman"/>
        </w:rPr>
        <w:t>Upon the dismissal of the person and discharge of the proceedings against him pursuant to subsection (B), the person may apply to the court for an order to expunge from all official records, other than the nonpublic records to be retained as provided in subsection (B), all recordation relating to his arrest, indictment or information, trial, finding of guilty, and dismissal and discharge pursuant to this section. If the court determines, after a hearing, that the person was dismissed and the proceedings against him discharged, it shall enter the order. The effect of the order is to restore the person, in the contemplation of the law, to the status he occupied before the arrest or indi</w:t>
      </w:r>
      <w:r>
        <w:rPr>
          <w:rFonts w:eastAsia="Times New Roman"/>
        </w:rPr>
        <w:t>ctment or information. A person</w:t>
      </w:r>
      <w:r w:rsidRPr="00460474">
        <w:rPr>
          <w:rFonts w:eastAsia="Times New Roman"/>
        </w:rPr>
        <w:t xml:space="preserve"> to whom the order has been entered must not be held to be guilty of perjury or otherwise giving a false statement pursuant to another provision of law by reason of his failure to recite or acknowledge the arrest, or indictment or information, or trial in response to an inquiry made of him for any purpose.</w:t>
      </w:r>
    </w:p>
    <w:p w:rsidR="002340A5" w:rsidP="002340A5" w:rsidRDefault="002340A5" w14:paraId="678DE86F" w14:textId="77777777">
      <w:pPr>
        <w:pStyle w:val="scnewcodesection"/>
      </w:pPr>
      <w:r w:rsidRPr="00460474">
        <w:rPr>
          <w:rFonts w:eastAsia="Times New Roman"/>
        </w:rPr>
        <w:tab/>
      </w:r>
      <w:bookmarkStart w:name="ss_T61C6N4725SD_lv1_26f66ba6a" w:id="12"/>
      <w:r w:rsidRPr="00460474">
        <w:rPr>
          <w:rFonts w:eastAsia="Times New Roman"/>
        </w:rPr>
        <w:t>(</w:t>
      </w:r>
      <w:bookmarkEnd w:id="12"/>
      <w:r w:rsidRPr="00460474">
        <w:rPr>
          <w:rFonts w:eastAsia="Times New Roman"/>
        </w:rPr>
        <w:t>D)</w:t>
      </w:r>
      <w:r w:rsidRPr="00460474">
        <w:t xml:space="preserve"> </w:t>
      </w:r>
      <w:r w:rsidRPr="00460474">
        <w:rPr>
          <w:rFonts w:eastAsia="Times New Roman"/>
        </w:rPr>
        <w:t>Before a person may be discharged and the proceedings dismissed pursuant to this section, the person must pay a fee to the summary court of one hundred fifty dollars.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w:t>
      </w:r>
      <w:r>
        <w:rPr>
          <w:rFonts w:eastAsia="Times New Roman"/>
        </w:rPr>
        <w:t>,</w:t>
      </w:r>
      <w:r w:rsidRPr="00460474">
        <w:rPr>
          <w:rFonts w:eastAsia="Times New Roman"/>
        </w:rPr>
        <w:t xml:space="preserve"> which shall then apportion these funds among the sixteen judicial circuits on a per capita basis equal to the population in that circuit compared to the population of the State as a whole</w:t>
      </w:r>
      <w:r>
        <w:rPr>
          <w:rFonts w:eastAsia="Times New Roman"/>
        </w:rPr>
        <w:t>,</w:t>
      </w:r>
      <w:r w:rsidRPr="00460474">
        <w:rPr>
          <w:rFonts w:eastAsia="Times New Roman"/>
        </w:rPr>
        <w:t xml:space="preserv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t>
      </w:r>
      <w:r>
        <w:rPr>
          <w:rFonts w:eastAsia="Times New Roman"/>
        </w:rPr>
        <w:t>that</w:t>
      </w:r>
      <w:r w:rsidRPr="00460474">
        <w:rPr>
          <w:rFonts w:eastAsia="Times New Roman"/>
        </w:rPr>
        <w:t xml:space="preserve">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2340A5" w:rsidP="002340A5" w:rsidRDefault="002340A5" w14:paraId="4A1AEB47" w14:textId="77777777">
      <w:pPr>
        <w:pStyle w:val="scemptyline"/>
      </w:pPr>
    </w:p>
    <w:p w:rsidRPr="00522CE0" w:rsidR="002340A5" w:rsidP="002340A5" w:rsidRDefault="002340A5" w14:paraId="05C0CD6D" w14:textId="77777777">
      <w:pPr>
        <w:pStyle w:val="scnoncodifiedsection"/>
      </w:pPr>
      <w:bookmarkStart w:name="eff_date_section" w:id="13"/>
      <w:bookmarkStart w:name="bs_num_2_lastsection" w:id="14"/>
      <w:bookmarkEnd w:id="13"/>
      <w:r>
        <w:rPr>
          <w:rFonts w:eastAsia="Times New Roman"/>
        </w:rPr>
        <w:t>S</w:t>
      </w:r>
      <w:bookmarkEnd w:id="14"/>
      <w:r>
        <w:t xml:space="preserve">ECTION </w:t>
      </w:r>
      <w:r>
        <w:rPr>
          <w:rFonts w:eastAsia="Times New Roman"/>
        </w:rPr>
        <w:t>2.</w:t>
      </w:r>
      <w:r>
        <w:rPr>
          <w:rFonts w:eastAsia="Times New Roman"/>
        </w:rPr>
        <w:tab/>
        <w:t>This act takes effect upon approval by the Governor.</w:t>
      </w:r>
    </w:p>
    <w:p w:rsidRPr="00DF3B44" w:rsidR="005516F6" w:rsidP="009E4191" w:rsidRDefault="002340A5" w14:paraId="7389F665" w14:textId="0DA1D4B7">
      <w:pPr>
        <w:pStyle w:val="scbillendxx"/>
      </w:pPr>
      <w:r w:rsidRPr="00522CE0">
        <w:rPr>
          <w:rFonts w:eastAsia="Times New Roman"/>
        </w:rPr>
        <w:noBreakHyphen/>
      </w:r>
      <w:r w:rsidRPr="00522CE0">
        <w:rPr>
          <w:rFonts w:eastAsia="Times New Roman"/>
        </w:rPr>
        <w:noBreakHyphen/>
      </w:r>
      <w:r w:rsidRPr="00522CE0">
        <w:rPr>
          <w:rFonts w:eastAsia="Times New Roman"/>
        </w:rPr>
        <w:noBreakHyphen/>
      </w:r>
      <w:r w:rsidRPr="00522CE0">
        <w:rPr>
          <w:rFonts w:eastAsia="Times New Roman"/>
        </w:rPr>
        <w:noBreakHyphen/>
        <w:t>XX</w:t>
      </w:r>
      <w:r w:rsidRPr="00522CE0">
        <w:rPr>
          <w:rFonts w:eastAsia="Times New Roman"/>
        </w:rPr>
        <w:noBreakHyphen/>
      </w:r>
      <w:r w:rsidRPr="00522CE0">
        <w:rPr>
          <w:rFonts w:eastAsia="Times New Roman"/>
        </w:rPr>
        <w:noBreakHyphen/>
      </w:r>
      <w:r w:rsidRPr="00522CE0">
        <w:rPr>
          <w:rFonts w:eastAsia="Times New Roman"/>
        </w:rPr>
        <w:noBreakHyphen/>
      </w:r>
      <w:r w:rsidRPr="00522CE0">
        <w:rPr>
          <w:rFonts w:eastAsia="Times New Roman"/>
        </w:rPr>
        <w:noBreakHyphen/>
      </w:r>
    </w:p>
    <w:sectPr w:rsidRPr="00DF3B44" w:rsidR="005516F6" w:rsidSect="00B66D0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FD05A4" w:rsidR="00685035" w:rsidRPr="007B4AF7" w:rsidRDefault="00B66D0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40A5">
              <w:rPr>
                <w:noProof/>
              </w:rPr>
              <w:t>SJ-0003MF23.docx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59C4"/>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40A5"/>
    <w:rsid w:val="00236D73"/>
    <w:rsid w:val="0024566A"/>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3A6E"/>
    <w:rsid w:val="004851A0"/>
    <w:rsid w:val="0048627F"/>
    <w:rsid w:val="004932AB"/>
    <w:rsid w:val="00494BEF"/>
    <w:rsid w:val="004A5512"/>
    <w:rsid w:val="004A6BE5"/>
    <w:rsid w:val="004B0C18"/>
    <w:rsid w:val="004C1A04"/>
    <w:rsid w:val="004C20BC"/>
    <w:rsid w:val="004C5C9A"/>
    <w:rsid w:val="004D1442"/>
    <w:rsid w:val="004D3DCB"/>
    <w:rsid w:val="004E4C94"/>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6C7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6D08"/>
    <w:rsid w:val="00B7592C"/>
    <w:rsid w:val="00B809D3"/>
    <w:rsid w:val="00B84B66"/>
    <w:rsid w:val="00B85475"/>
    <w:rsid w:val="00B9090A"/>
    <w:rsid w:val="00B92196"/>
    <w:rsid w:val="00B9228D"/>
    <w:rsid w:val="00B929EC"/>
    <w:rsid w:val="00BB0725"/>
    <w:rsid w:val="00BC408A"/>
    <w:rsid w:val="00BC5023"/>
    <w:rsid w:val="00BC556C"/>
    <w:rsid w:val="00BC7A10"/>
    <w:rsid w:val="00BD42DA"/>
    <w:rsid w:val="00BD4684"/>
    <w:rsid w:val="00BE08A7"/>
    <w:rsid w:val="00BE4391"/>
    <w:rsid w:val="00BF3E48"/>
    <w:rsid w:val="00C15F1B"/>
    <w:rsid w:val="00C16288"/>
    <w:rsid w:val="00C17D1D"/>
    <w:rsid w:val="00C45923"/>
    <w:rsid w:val="00C543E7"/>
    <w:rsid w:val="00C55508"/>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5276"/>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420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9&amp;session=125&amp;summary=B" TargetMode="External" Id="R9271f18e2eb54233" /><Relationship Type="http://schemas.openxmlformats.org/officeDocument/2006/relationships/hyperlink" Target="https://www.scstatehouse.gov/sess125_2023-2024/prever/129_20221201.docx" TargetMode="External" Id="Rec044283a70847dd" /><Relationship Type="http://schemas.openxmlformats.org/officeDocument/2006/relationships/hyperlink" Target="h:\sj\20230110.docx" TargetMode="External" Id="R0ce7ceb46add4441" /><Relationship Type="http://schemas.openxmlformats.org/officeDocument/2006/relationships/hyperlink" Target="h:\sj\20230110.docx" TargetMode="External" Id="Rd244066a83da49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8ff271ed-b33b-4d1b-8cf7-8ad7e4a412fe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ea95973b-c427-4acf-87ac-5dd7ea079d6f</T_BILL_REQUEST_REQUEST>
  <T_BILL_R_ORIGINALDRAFT>f26f22ba-395c-42f6-9138-b09c0e2fa76e</T_BILL_R_ORIGINALDRAFT>
  <T_BILL_SPONSOR_SPONSOR>3abf78bb-7f04-4a20-901b-adb593c26cf9</T_BILL_SPONSOR_SPONSOR>
  <T_BILL_T_ACTNUMBER>None</T_BILL_T_ACTNUMBER>
  <T_BILL_T_BILLNAME>[0129]</T_BILL_T_BILLNAME>
  <T_BILL_T_BILLNUMBER>129</T_BILL_T_BILLNUMBER>
  <T_BILL_T_BILLTITLE>to amend the South Carolina Code of Laws by adding Section 61-6-4725 relating to the alcoholic beverage control act, so as to permit conditional discharge of first-time offenders under section 61-6-4720 and to permit county and municipal prosecutors to conditionally discharge first-time offenders of county or municipal open container offenses, and to permit expungement of such offenses.</T_BILL_T_BILLTITLE>
  <T_BILL_T_CHAMBER>senate</T_BILL_T_CHAMBER>
  <T_BILL_T_FILENAME> </T_BILL_T_FILENAME>
  <T_BILL_T_LEGTYPE>bill_statewide</T_BILL_T_LEGTYPE>
  <T_BILL_T_RATNUMBER>None</T_BILL_T_RATNUMBER>
  <T_BILL_T_SECTIONS>[{"SectionUUID":"8f20d33b-e715-4b5b-888f-310f8dfc03c3","SectionName":"code_section","SectionNumber":1,"SectionType":"code_section","CodeSections":[{"CodeSectionBookmarkName":"ns_T61C6N4725_e2f153e4c","IsConstitutionSection":false,"Identity":"61-6-4725","IsNew":true,"SubSections":[{"Level":1,"Identity":"T61C6N4725SA","SubSectionBookmarkName":"ss_T61C6N4725SA_lv1_f33c41d2e","IsNewSubSection":false},{"Level":1,"Identity":"T61C6N4725SB","SubSectionBookmarkName":"ss_T61C6N4725SB_lv1_a875c83d0","IsNewSubSection":false},{"Level":2,"Identity":"T61C6N4725S1","SubSectionBookmarkName":"ss_T61C6N4725S1_lv2_491ce4f27","IsNewSubSection":false},{"Level":2,"Identity":"T61C6N4725S2","SubSectionBookmarkName":"ss_T61C6N4725S2_lv2_faaeba64a","IsNewSubSection":false},{"Level":2,"Identity":"T61C6N4725S3","SubSectionBookmarkName":"ss_T61C6N4725S3_lv2_5a7493f38","IsNewSubSection":false},{"Level":2,"Identity":"T61C6N4725S4","SubSectionBookmarkName":"ss_T61C6N4725S4_lv2_e8756a2b2","IsNewSubSection":false},{"Level":1,"Identity":"T61C6N4725SC","SubSectionBookmarkName":"ss_T61C6N4725SC_lv1_2fbf24ee9","IsNewSubSection":false},{"Level":1,"Identity":"T61C6N4725SD","SubSectionBookmarkName":"ss_T61C6N4725SD_lv1_26f66ba6a","IsNewSubSection":false}],"TitleRelatedTo":"","TitleSoAsTo":"relating to the alcoholic beverage control act, so as to permit conditional discharge of first-time offenders under section 61-6-4720 and to permit county and municipal prosecutors to conditionally discharge first-time offenders of county or municipal open container offenses, and to permit expungement of such offenses","Deleted":false}],"TitleText":"","DisableControls":false,"Deleted":false,"SectionBookmarkName":"bs_num_1_036fccb6f"},{"SectionUUID":"f2b318a1-0f73-41f9-8e30-9cf745643622","SectionName":"standard_eff_date_section","SectionNumber":2,"SectionType":"drafting_clause","CodeSections":[],"TitleText":"","DisableControls":false,"Deleted":false,"SectionBookmarkName":"bs_num_2_lastsection"}]</T_BILL_T_SECTIONS>
  <T_BILL_T_SECTIONSHISTORY>[{"Id":3,"SectionsList":[{"SectionUUID":"8f20d33b-e715-4b5b-888f-310f8dfc03c3","SectionName":"code_section","SectionNumber":1,"SectionType":"code_section","CodeSections":[{"CodeSectionBookmarkName":"ns_T61C6N4725_e2f153e4c","IsConstitutionSection":false,"Identity":"61-6-4725","IsNew":true,"SubSections":[],"TitleRelatedTo":"","TitleSoAsTo":"relating to the alcoholic beverage control act, so as to permit conditional discharge of first-time offenders under section 61-6-4720 and to permit county and municipal prosecutors to conditionally discharge first-time offenders of county or municipal open container offenses, and to permit expungement of such offenses","Deleted":false}],"TitleText":"","DisableControls":false,"Deleted":false,"SectionBookmarkName":"bs_num_1_036fccb6f"},{"SectionUUID":"f2b318a1-0f73-41f9-8e30-9cf745643622","SectionName":"standard_eff_date_section","SectionNumber":2,"SectionType":"drafting_clause","CodeSections":[],"TitleText":"","DisableControls":false,"Deleted":false,"SectionBookmarkName":"bs_num_2_lastsection"}],"Timestamp":"2022-11-29T10:52:29.2570602-05:00","Username":null},{"Id":2,"SectionsList":[{"SectionUUID":"8f20d33b-e715-4b5b-888f-310f8dfc03c3","SectionName":"code_section","SectionNumber":1,"SectionType":"code_section","CodeSections":[{"CodeSectionBookmarkName":"ns_T61C6N4725_e2f153e4c","IsConstitutionSection":false,"Identity":"61-6-4725","IsNew":true,"SubSections":[],"TitleRelatedTo":"","TitleSoAsTo":"relating to the alcoholic beverage control act, so as to permit conditional discharge of first-time offenders under section 61-6-4720 and to permit county and muncipal prosecutors to conditionally discharge first-time offenders of county or municipal open container offenses, and to permit expungement of such offenses","Deleted":false}],"TitleText":"","DisableControls":false,"Deleted":false,"SectionBookmarkName":"bs_num_1_036fccb6f"},{"SectionUUID":"f2b318a1-0f73-41f9-8e30-9cf745643622","SectionName":"standard_eff_date_section","SectionNumber":2,"SectionType":"drafting_clause","CodeSections":[],"TitleText":"","DisableControls":false,"Deleted":false,"SectionBookmarkName":"bs_num_2_lastsection"}],"Timestamp":"2022-11-29T10:52:11.8158006-05:00","Username":null},{"Id":1,"SectionsList":[{"SectionUUID":"8f20d33b-e715-4b5b-888f-310f8dfc03c3","SectionName":"code_section","SectionNumber":1,"SectionType":"code_section","CodeSections":[{"CodeSectionBookmarkName":"ns_T61C6N4725_e2f153e4c","IsConstitutionSection":false,"Identity":"61-6-4725","IsNew":true,"SubSections":[],"TitleRelatedTo":"","TitleSoAsTo":"","Deleted":false}],"TitleText":"","DisableControls":false,"Deleted":false,"SectionBookmarkName":"bs_num_1_036fccb6f"},{"SectionUUID":"f2b318a1-0f73-41f9-8e30-9cf745643622","SectionName":"standard_eff_date_section","SectionNumber":2,"SectionType":"drafting_clause","CodeSections":[],"TitleText":"","DisableControls":false,"Deleted":false,"SectionBookmarkName":"bs_num_2_lastsection"}],"Timestamp":"2022-10-27T14:20:45.2861065-04:00","Username":null},{"Id":4,"SectionsList":[{"SectionUUID":"8f20d33b-e715-4b5b-888f-310f8dfc03c3","SectionName":"code_section","SectionNumber":1,"SectionType":"code_section","CodeSections":[{"CodeSectionBookmarkName":"ns_T61C6N4725_e2f153e4c","IsConstitutionSection":false,"Identity":"61-6-4725","IsNew":true,"SubSections":[{"Level":1,"Identity":"T61C6N4725SA","SubSectionBookmarkName":"ss_T61C6N4725SA_lv1_f33c41d2e","IsNewSubSection":false},{"Level":1,"Identity":"T61C6N4725SB","SubSectionBookmarkName":"ss_T61C6N4725SB_lv1_a875c83d0","IsNewSubSection":false},{"Level":2,"Identity":"T61C6N4725S1","SubSectionBookmarkName":"ss_T61C6N4725S1_lv2_491ce4f27","IsNewSubSection":false},{"Level":2,"Identity":"T61C6N4725S2","SubSectionBookmarkName":"ss_T61C6N4725S2_lv2_faaeba64a","IsNewSubSection":false},{"Level":2,"Identity":"T61C6N4725S3","SubSectionBookmarkName":"ss_T61C6N4725S3_lv2_5a7493f38","IsNewSubSection":false},{"Level":2,"Identity":"T61C6N4725S4","SubSectionBookmarkName":"ss_T61C6N4725S4_lv2_e8756a2b2","IsNewSubSection":false},{"Level":1,"Identity":"T61C6N4725SC","SubSectionBookmarkName":"ss_T61C6N4725SC_lv1_2fbf24ee9","IsNewSubSection":false},{"Level":1,"Identity":"T61C6N4725SD","SubSectionBookmarkName":"ss_T61C6N4725SD_lv1_26f66ba6a","IsNewSubSection":false}],"TitleRelatedTo":"","TitleSoAsTo":"relating to the alcoholic beverage control act, so as to permit conditional discharge of first-time offenders under section 61-6-4720 and to permit county and municipal prosecutors to conditionally discharge first-time offenders of county or municipal open container offenses, and to permit expungement of such offenses","Deleted":false}],"TitleText":"","DisableControls":false,"Deleted":false,"SectionBookmarkName":"bs_num_1_036fccb6f"},{"SectionUUID":"f2b318a1-0f73-41f9-8e30-9cf745643622","SectionName":"standard_eff_date_section","SectionNumber":2,"SectionType":"drafting_clause","CodeSections":[],"TitleText":"","DisableControls":false,"Deleted":false,"SectionBookmarkName":"bs_num_2_lastsection"}],"Timestamp":"2022-11-29T12:09:37.9779768-05:00","Username":"maxinehenry@scsenate.gov"}]</T_BILL_T_SECTIONSHISTORY>
  <T_BILL_T_SUBJECT>Conditional Discharge for Open Container Offenses</T_BILL_T_SUBJECT>
  <T_BILL_UR_DRAFTER>madisonfaulk@scsenate.gov</T_BILL_UR_DRAFTER>
  <T_BILL_UR_DRAFTINGASSISTANT>maxinehenry@scsenate.gov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833</Words>
  <Characters>4225</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Maxine Henry</cp:lastModifiedBy>
  <cp:revision>27</cp:revision>
  <dcterms:created xsi:type="dcterms:W3CDTF">2022-06-03T11:45:00Z</dcterms:created>
  <dcterms:modified xsi:type="dcterms:W3CDTF">2022-11-29T17:09:00Z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