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Moss, Carter, Lawson, Pope, Yow, Bustos, Landing and Hartnett</w:t>
      </w:r>
    </w:p>
    <w:p>
      <w:pPr>
        <w:widowControl w:val="false"/>
        <w:spacing w:after="0"/>
        <w:jc w:val="left"/>
      </w:pPr>
      <w:r>
        <w:rPr>
          <w:rFonts w:ascii="Times New Roman"/>
          <w:sz w:val="22"/>
        </w:rPr>
        <w:t xml:space="preserve">Companion/Similar bill(s): 432, 3033, 3840</w:t>
      </w:r>
    </w:p>
    <w:p>
      <w:pPr>
        <w:widowControl w:val="false"/>
        <w:spacing w:after="0"/>
        <w:jc w:val="left"/>
      </w:pPr>
      <w:r>
        <w:rPr>
          <w:rFonts w:ascii="Times New Roman"/>
          <w:sz w:val="22"/>
        </w:rPr>
        <w:t xml:space="preserve">Document Path: LC-0012HDB23.docx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Assault and battery on health care workers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47f9500a6ef54825">
        <w:r w:rsidRPr="00770434">
          <w:rPr>
            <w:rStyle w:val="Hyperlink"/>
          </w:rPr>
          <w:t>House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8047eedd564f4ee6">
        <w:r w:rsidRPr="00770434">
          <w:rPr>
            <w:rStyle w:val="Hyperlink"/>
          </w:rPr>
          <w:t>House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Yow
 </w:t>
      </w:r>
    </w:p>
    <w:p>
      <w:pPr>
        <w:widowControl w:val="false"/>
        <w:tabs>
          <w:tab w:val="right" w:pos="1008"/>
          <w:tab w:val="left" w:pos="1152"/>
          <w:tab w:val="left" w:pos="1872"/>
          <w:tab w:val="left" w:pos="9187"/>
        </w:tabs>
        <w:spacing w:after="0"/>
        <w:ind w:left="2088" w:hanging="2088"/>
      </w:pPr>
      <w:r>
        <w:tab/>
        <w:t>4/16/2024</w:t>
      </w:r>
      <w:r>
        <w:tab/>
        <w:t>House</w:t>
      </w:r>
      <w:r>
        <w:tab/>
        <w:t>Member(s) request name added as sponsor: Bustos, 
 Landing, Hartnett
 </w:t>
      </w:r>
    </w:p>
    <w:p>
      <w:pPr>
        <w:widowControl w:val="false"/>
        <w:spacing w:after="0"/>
        <w:jc w:val="left"/>
      </w:pPr>
    </w:p>
    <w:p>
      <w:pPr>
        <w:widowControl w:val="false"/>
        <w:spacing w:after="0"/>
        <w:jc w:val="left"/>
      </w:pPr>
      <w:r>
        <w:rPr>
          <w:rFonts w:ascii="Times New Roman"/>
          <w:sz w:val="22"/>
        </w:rPr>
        <w:t xml:space="preserve">View the latest </w:t>
      </w:r>
      <w:hyperlink r:id="Re1015d3e72a2457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8be821e7ee44235">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D2C3C" w:rsidRDefault="00432135" w14:paraId="47642A99" w14:textId="63C0FDDA">
      <w:pPr>
        <w:pStyle w:val="scemptylineheader"/>
      </w:pPr>
    </w:p>
    <w:p w:rsidRPr="00BB0725" w:rsidR="00A73EFA" w:rsidP="008D2C3C" w:rsidRDefault="00A73EFA" w14:paraId="7B72410E" w14:textId="7DD772E7">
      <w:pPr>
        <w:pStyle w:val="scemptylineheader"/>
      </w:pPr>
    </w:p>
    <w:p w:rsidRPr="00BB0725" w:rsidR="00A73EFA" w:rsidP="008D2C3C" w:rsidRDefault="00A73EFA" w14:paraId="6AD935C9" w14:textId="4D5FF889">
      <w:pPr>
        <w:pStyle w:val="scemptylineheader"/>
      </w:pPr>
    </w:p>
    <w:p w:rsidRPr="00DF3B44" w:rsidR="00A73EFA" w:rsidP="008D2C3C" w:rsidRDefault="00A73EFA" w14:paraId="51A98227" w14:textId="75CE79E8">
      <w:pPr>
        <w:pStyle w:val="scemptylineheader"/>
      </w:pPr>
    </w:p>
    <w:p w:rsidRPr="00DF3B44" w:rsidR="00A73EFA" w:rsidP="008D2C3C" w:rsidRDefault="00A73EFA" w14:paraId="3858851A" w14:textId="0D27A6D4">
      <w:pPr>
        <w:pStyle w:val="scemptylineheader"/>
      </w:pPr>
    </w:p>
    <w:p w:rsidRPr="00DF3B44" w:rsidR="00A73EFA" w:rsidP="008D2C3C" w:rsidRDefault="00A73EFA" w14:paraId="4E3DDE20" w14:textId="4537DC1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0266C" w14:paraId="40FEFADA" w14:textId="60647592">
          <w:pPr>
            <w:pStyle w:val="scbilltitle"/>
            <w:tabs>
              <w:tab w:val="left" w:pos="2104"/>
            </w:tabs>
          </w:pPr>
          <w:r>
            <w:t xml:space="preserve">TO AMEND </w:t>
          </w:r>
          <w:r w:rsidR="005D27E2">
            <w:t xml:space="preserve">the south carolina code of laws by amending </w:t>
          </w:r>
          <w:r>
            <w:t>SECTION 16</w:t>
          </w:r>
          <w:r w:rsidR="0085484E">
            <w:t>‑</w:t>
          </w:r>
          <w:r>
            <w:t>3</w:t>
          </w:r>
          <w:r w:rsidR="0085484E">
            <w:t>‑</w:t>
          </w:r>
          <w:r>
            <w:t>600, RELATING TO ASSAULT AND BATTERY OFFENSES, SO AS TO ADD THAT ASSAULT AND BATTERY OF A HIGH AND AGGRAVATED NATURE OCCURS WHEN A PERSON INJURES A HEALTH CARE WORKER OR EMERGENCY RESPONSE EMPLOYEE IN THE DISCHARGE OF OR BECAUSE OF THEIR OFFICIAL DUTIES.</w:t>
          </w:r>
        </w:p>
      </w:sdtContent>
    </w:sdt>
    <w:bookmarkStart w:name="at_b0846f625" w:displacedByCustomXml="prev" w:id="0"/>
    <w:bookmarkEnd w:id="0"/>
    <w:p w:rsidRPr="00DF3B44" w:rsidR="006C18F0" w:rsidP="006C18F0" w:rsidRDefault="006C18F0" w14:paraId="5BAAC1B7" w14:textId="77777777">
      <w:pPr>
        <w:pStyle w:val="scbillwhereasclause"/>
      </w:pPr>
    </w:p>
    <w:p w:rsidR="00F0266C" w:rsidP="00F0266C" w:rsidRDefault="00F0266C" w14:paraId="116581FA" w14:textId="77777777">
      <w:pPr>
        <w:pStyle w:val="scenactingwords"/>
      </w:pPr>
      <w:bookmarkStart w:name="ew_5e1ee6928" w:id="1"/>
      <w:r>
        <w:t>B</w:t>
      </w:r>
      <w:bookmarkEnd w:id="1"/>
      <w:r>
        <w:t>e it enacted by the General Assembly of the State of South Carolina:</w:t>
      </w:r>
    </w:p>
    <w:p w:rsidR="00F0266C" w:rsidP="00F0266C" w:rsidRDefault="00F0266C" w14:paraId="7E380B30" w14:textId="77777777">
      <w:pPr>
        <w:pStyle w:val="scemptyline"/>
      </w:pPr>
    </w:p>
    <w:p w:rsidRPr="00823473" w:rsidR="00F0266C" w:rsidP="00F0266C" w:rsidRDefault="00F0266C" w14:paraId="4712398E" w14:textId="4A71D72C">
      <w:pPr>
        <w:pStyle w:val="scdirectionallanguage"/>
      </w:pPr>
      <w:bookmarkStart w:name="bs_num_1_8260765ef" w:id="2"/>
      <w:r w:rsidRPr="00823473">
        <w:rPr>
          <w:color w:val="000000" w:themeColor="text1"/>
          <w:u w:color="000000" w:themeColor="text1"/>
        </w:rPr>
        <w:t>S</w:t>
      </w:r>
      <w:bookmarkEnd w:id="2"/>
      <w:r>
        <w:t xml:space="preserve">ECTION </w:t>
      </w:r>
      <w:r w:rsidRPr="00823473">
        <w:rPr>
          <w:color w:val="000000" w:themeColor="text1"/>
          <w:u w:color="000000" w:themeColor="text1"/>
        </w:rPr>
        <w:t>1.</w:t>
      </w:r>
      <w:r>
        <w:tab/>
      </w:r>
      <w:bookmarkStart w:name="dl_3a73e55f5" w:id="3"/>
      <w:r w:rsidRPr="00823473">
        <w:rPr>
          <w:color w:val="000000" w:themeColor="text1"/>
          <w:u w:color="000000" w:themeColor="text1"/>
        </w:rPr>
        <w:t>S</w:t>
      </w:r>
      <w:bookmarkEnd w:id="3"/>
      <w:r>
        <w:t>ection 16</w:t>
      </w:r>
      <w:r w:rsidR="0085484E">
        <w:rPr>
          <w:color w:val="000000" w:themeColor="text1"/>
          <w:u w:color="000000" w:themeColor="text1"/>
        </w:rPr>
        <w:t>‑</w:t>
      </w:r>
      <w:r w:rsidRPr="00823473">
        <w:rPr>
          <w:color w:val="000000" w:themeColor="text1"/>
          <w:u w:color="000000" w:themeColor="text1"/>
        </w:rPr>
        <w:t>3</w:t>
      </w:r>
      <w:r w:rsidR="0085484E">
        <w:rPr>
          <w:color w:val="000000" w:themeColor="text1"/>
          <w:u w:color="000000" w:themeColor="text1"/>
        </w:rPr>
        <w:t>‑</w:t>
      </w:r>
      <w:r w:rsidRPr="00823473">
        <w:rPr>
          <w:color w:val="000000" w:themeColor="text1"/>
          <w:u w:color="000000" w:themeColor="text1"/>
        </w:rPr>
        <w:t xml:space="preserve">600(B) of the </w:t>
      </w:r>
      <w:r w:rsidR="0085484E">
        <w:rPr>
          <w:color w:val="000000" w:themeColor="text1"/>
          <w:u w:color="000000" w:themeColor="text1"/>
        </w:rPr>
        <w:t>S. C.</w:t>
      </w:r>
      <w:r w:rsidRPr="00823473">
        <w:rPr>
          <w:color w:val="000000" w:themeColor="text1"/>
          <w:u w:color="000000" w:themeColor="text1"/>
        </w:rPr>
        <w:t xml:space="preserve"> Code is amended to read:</w:t>
      </w:r>
    </w:p>
    <w:p w:rsidRPr="00823473" w:rsidR="00F0266C" w:rsidP="00F0266C" w:rsidRDefault="00F0266C" w14:paraId="2136E603" w14:textId="77777777">
      <w:pPr>
        <w:pStyle w:val="scemptyline"/>
      </w:pPr>
    </w:p>
    <w:p w:rsidRPr="00823473" w:rsidR="00F0266C" w:rsidP="00F0266C" w:rsidRDefault="00F0266C" w14:paraId="5222CA5E" w14:textId="77777777">
      <w:pPr>
        <w:pStyle w:val="sccodifiedsection"/>
      </w:pPr>
      <w:r>
        <w:tab/>
      </w:r>
      <w:bookmarkStart w:name="cs_T16C3N600_56798a36e" w:id="4"/>
      <w:r w:rsidRPr="00823473">
        <w:rPr>
          <w:color w:val="000000" w:themeColor="text1"/>
          <w:u w:color="000000" w:themeColor="text1"/>
        </w:rPr>
        <w:t>(</w:t>
      </w:r>
      <w:bookmarkEnd w:id="4"/>
      <w:r>
        <w:t>B)</w:t>
      </w:r>
      <w:bookmarkStart w:name="ss_T16C3N600S1_lv1_40eef0433" w:id="5"/>
      <w:r>
        <w:t>(</w:t>
      </w:r>
      <w:bookmarkEnd w:id="5"/>
      <w:r>
        <w:t xml:space="preserve">1) </w:t>
      </w:r>
      <w:r w:rsidRPr="00823473">
        <w:rPr>
          <w:color w:val="000000" w:themeColor="text1"/>
          <w:u w:color="000000" w:themeColor="text1"/>
        </w:rPr>
        <w:t>A person commits the offense of assault and battery of a high and aggravated nature if the person unlawfully injures another person, and:</w:t>
      </w:r>
    </w:p>
    <w:p w:rsidRPr="00823473" w:rsidR="00F0266C" w:rsidP="00F0266C" w:rsidRDefault="00F0266C" w14:paraId="1BBA6AB7" w14:textId="77777777">
      <w:pPr>
        <w:pStyle w:val="sccodifiedsection"/>
      </w:pPr>
      <w:r w:rsidRPr="00823473">
        <w:rPr>
          <w:color w:val="000000" w:themeColor="text1"/>
          <w:u w:color="000000" w:themeColor="text1"/>
        </w:rPr>
        <w:tab/>
      </w:r>
      <w:r w:rsidRPr="00823473">
        <w:rPr>
          <w:color w:val="000000" w:themeColor="text1"/>
          <w:u w:color="000000" w:themeColor="text1"/>
        </w:rPr>
        <w:tab/>
      </w:r>
      <w:r w:rsidRPr="00823473">
        <w:rPr>
          <w:color w:val="000000" w:themeColor="text1"/>
          <w:u w:color="000000" w:themeColor="text1"/>
        </w:rPr>
        <w:tab/>
      </w:r>
      <w:bookmarkStart w:name="ss_T16C3N600Sa_lv2_1e920d7d1" w:id="6"/>
      <w:r w:rsidRPr="00823473">
        <w:rPr>
          <w:color w:val="000000" w:themeColor="text1"/>
          <w:u w:color="000000" w:themeColor="text1"/>
        </w:rPr>
        <w:t>(</w:t>
      </w:r>
      <w:bookmarkEnd w:id="6"/>
      <w:r w:rsidRPr="00823473">
        <w:rPr>
          <w:color w:val="000000" w:themeColor="text1"/>
          <w:u w:color="000000" w:themeColor="text1"/>
        </w:rPr>
        <w:t>a)</w:t>
      </w:r>
      <w:r w:rsidRPr="00823473">
        <w:t xml:space="preserve"> </w:t>
      </w:r>
      <w:r w:rsidRPr="00823473">
        <w:rPr>
          <w:color w:val="000000" w:themeColor="text1"/>
          <w:u w:color="000000" w:themeColor="text1"/>
        </w:rPr>
        <w:t xml:space="preserve">great bodily injury to another person results; </w:t>
      </w:r>
      <w:r>
        <w:rPr>
          <w:rStyle w:val="scstrike"/>
        </w:rPr>
        <w:t>or</w:t>
      </w:r>
    </w:p>
    <w:p w:rsidRPr="00823473" w:rsidR="00F0266C" w:rsidP="00F0266C" w:rsidRDefault="00F0266C" w14:paraId="599CBDE7" w14:textId="77777777">
      <w:pPr>
        <w:pStyle w:val="sccodifiedsection"/>
      </w:pPr>
      <w:r w:rsidRPr="00823473">
        <w:rPr>
          <w:color w:val="000000" w:themeColor="text1"/>
          <w:u w:color="000000" w:themeColor="text1"/>
        </w:rPr>
        <w:tab/>
      </w:r>
      <w:r w:rsidRPr="00823473">
        <w:rPr>
          <w:color w:val="000000" w:themeColor="text1"/>
          <w:u w:color="000000" w:themeColor="text1"/>
        </w:rPr>
        <w:tab/>
      </w:r>
      <w:r w:rsidRPr="00823473">
        <w:rPr>
          <w:color w:val="000000" w:themeColor="text1"/>
          <w:u w:color="000000" w:themeColor="text1"/>
        </w:rPr>
        <w:tab/>
      </w:r>
      <w:bookmarkStart w:name="ss_T16C3N600Sb_lv2_c2e1aa125" w:id="8"/>
      <w:r w:rsidRPr="00823473">
        <w:rPr>
          <w:color w:val="000000" w:themeColor="text1"/>
          <w:u w:color="000000" w:themeColor="text1"/>
        </w:rPr>
        <w:t>(</w:t>
      </w:r>
      <w:bookmarkEnd w:id="8"/>
      <w:r w:rsidRPr="00823473">
        <w:rPr>
          <w:color w:val="000000" w:themeColor="text1"/>
          <w:u w:color="000000" w:themeColor="text1"/>
        </w:rPr>
        <w:t>b)</w:t>
      </w:r>
      <w:r w:rsidRPr="00823473">
        <w:t xml:space="preserve"> </w:t>
      </w:r>
      <w:r w:rsidRPr="00823473">
        <w:rPr>
          <w:color w:val="000000" w:themeColor="text1"/>
          <w:u w:color="000000" w:themeColor="text1"/>
        </w:rPr>
        <w:t>the act is accomplished by means likely to produce death or great bodily injury</w:t>
      </w:r>
      <w:r w:rsidRPr="00823473">
        <w:rPr>
          <w:rStyle w:val="scinsert"/>
        </w:rPr>
        <w:t>;</w:t>
      </w:r>
      <w:r>
        <w:rPr>
          <w:rStyle w:val="scinsert"/>
        </w:rPr>
        <w:t xml:space="preserve"> </w:t>
      </w:r>
      <w:r w:rsidRPr="00823473">
        <w:rPr>
          <w:rStyle w:val="scinsert"/>
        </w:rPr>
        <w:t>or</w:t>
      </w:r>
    </w:p>
    <w:p w:rsidRPr="00D40D9F" w:rsidR="00F0266C" w:rsidP="00F0266C" w:rsidRDefault="00F0266C" w14:paraId="6D2E356F" w14:textId="62B8617B">
      <w:pPr>
        <w:pStyle w:val="sccodifiedsection"/>
      </w:pPr>
      <w:r w:rsidRPr="00823473">
        <w:rPr>
          <w:color w:val="000000" w:themeColor="text1"/>
          <w:u w:color="000000" w:themeColor="text1"/>
        </w:rPr>
        <w:tab/>
      </w:r>
      <w:r w:rsidRPr="00823473">
        <w:rPr>
          <w:color w:val="000000" w:themeColor="text1"/>
          <w:u w:color="000000" w:themeColor="text1"/>
        </w:rPr>
        <w:tab/>
      </w:r>
      <w:r w:rsidRPr="00823473">
        <w:rPr>
          <w:color w:val="000000" w:themeColor="text1"/>
          <w:u w:color="000000" w:themeColor="text1"/>
        </w:rPr>
        <w:tab/>
      </w:r>
      <w:bookmarkStart w:name="ss_T16C3N600Sc_lv2_f04073ba2" w:id="10"/>
      <w:r w:rsidR="005D27E2">
        <w:rPr>
          <w:rStyle w:val="scinsert"/>
          <w:color w:val="000000" w:themeColor="text1"/>
          <w:u w:color="000000" w:themeColor="text1"/>
        </w:rPr>
        <w:t>(</w:t>
      </w:r>
      <w:bookmarkEnd w:id="10"/>
      <w:r w:rsidR="005D27E2">
        <w:rPr>
          <w:rStyle w:val="scinsert"/>
          <w:color w:val="000000" w:themeColor="text1"/>
          <w:u w:color="000000" w:themeColor="text1"/>
        </w:rPr>
        <w:t xml:space="preserve">c) the person injured is a “health care worker” or “emergency response employee” as those terms are defined in Section </w:t>
      </w:r>
      <w:r w:rsidR="00475CC6">
        <w:rPr>
          <w:rStyle w:val="scinsert"/>
          <w:color w:val="000000" w:themeColor="text1"/>
          <w:u w:color="000000" w:themeColor="text1"/>
        </w:rPr>
        <w:t>44-29-230</w:t>
      </w:r>
      <w:r w:rsidR="005D27E2">
        <w:rPr>
          <w:rStyle w:val="scinsert"/>
          <w:color w:val="000000" w:themeColor="text1"/>
          <w:u w:color="000000" w:themeColor="text1"/>
        </w:rPr>
        <w:t>, and the injury occurs during or because of the performance of the person’s official duties.</w:t>
      </w:r>
    </w:p>
    <w:p w:rsidR="00F0266C" w:rsidP="00F0266C" w:rsidRDefault="00F0266C" w14:paraId="20C4E075" w14:textId="77777777">
      <w:pPr>
        <w:pStyle w:val="sccodifiedsection"/>
      </w:pPr>
      <w:r w:rsidRPr="00823473">
        <w:rPr>
          <w:color w:val="000000" w:themeColor="text1"/>
          <w:u w:color="000000" w:themeColor="text1"/>
        </w:rPr>
        <w:tab/>
      </w:r>
      <w:r w:rsidRPr="00823473">
        <w:rPr>
          <w:color w:val="000000" w:themeColor="text1"/>
          <w:u w:color="000000" w:themeColor="text1"/>
        </w:rPr>
        <w:tab/>
      </w:r>
      <w:bookmarkStart w:name="ss_T16C3N600S2_lv1_268590c5f" w:id="14"/>
      <w:r w:rsidRPr="00823473">
        <w:rPr>
          <w:color w:val="000000" w:themeColor="text1"/>
          <w:u w:color="000000" w:themeColor="text1"/>
        </w:rPr>
        <w:t>(</w:t>
      </w:r>
      <w:bookmarkEnd w:id="14"/>
      <w:r w:rsidRPr="00823473">
        <w:rPr>
          <w:color w:val="000000" w:themeColor="text1"/>
          <w:u w:color="000000" w:themeColor="text1"/>
        </w:rPr>
        <w:t>2)</w:t>
      </w:r>
      <w:r w:rsidRPr="00823473">
        <w:t xml:space="preserve"> </w:t>
      </w:r>
      <w:r w:rsidRPr="00823473">
        <w:rPr>
          <w:color w:val="000000" w:themeColor="text1"/>
          <w:u w:color="000000" w:themeColor="text1"/>
        </w:rPr>
        <w:t>A person who violates this subsection is guilty of a felony</w:t>
      </w:r>
      <w:r>
        <w:rPr>
          <w:rStyle w:val="scstrike"/>
        </w:rPr>
        <w:t>,</w:t>
      </w:r>
      <w:r w:rsidRPr="00823473">
        <w:rPr>
          <w:color w:val="000000" w:themeColor="text1"/>
          <w:u w:color="000000" w:themeColor="text1"/>
        </w:rPr>
        <w:t xml:space="preserve"> and, upon conviction, must be imprisoned for not more than twenty years</w:t>
      </w:r>
      <w:r>
        <w:rPr>
          <w:color w:val="000000" w:themeColor="text1"/>
          <w:u w:color="000000" w:themeColor="text1"/>
        </w:rPr>
        <w:t>.</w:t>
      </w:r>
    </w:p>
    <w:p w:rsidR="00F0266C" w:rsidP="00F0266C" w:rsidRDefault="00F0266C" w14:paraId="3BE3A92B" w14:textId="024EB9C2">
      <w:pPr>
        <w:pStyle w:val="sccodifiedsection"/>
      </w:pPr>
      <w:r>
        <w:rPr>
          <w:color w:val="000000" w:themeColor="text1"/>
          <w:u w:color="000000" w:themeColor="text1"/>
        </w:rPr>
        <w:tab/>
      </w:r>
      <w:r>
        <w:rPr>
          <w:color w:val="000000" w:themeColor="text1"/>
          <w:u w:color="000000" w:themeColor="text1"/>
        </w:rPr>
        <w:tab/>
      </w:r>
      <w:bookmarkStart w:name="ss_T16C3N600S3_lv1_f7190fb32" w:id="16"/>
      <w:r w:rsidRPr="00005FF1">
        <w:t>(</w:t>
      </w:r>
      <w:bookmarkEnd w:id="16"/>
      <w:r w:rsidRPr="00005FF1">
        <w:t>3)</w:t>
      </w:r>
      <w:r>
        <w:t xml:space="preserve"> </w:t>
      </w:r>
      <w:r w:rsidRPr="00005FF1">
        <w:t>Assault and battery of a high and aggravated nature is a lesser</w:t>
      </w:r>
      <w:r w:rsidR="0085484E">
        <w:t>‑</w:t>
      </w:r>
      <w:r w:rsidRPr="00005FF1">
        <w:t>included offense of attempted murder, as defined in Section 16</w:t>
      </w:r>
      <w:r w:rsidR="0085484E">
        <w:t>‑</w:t>
      </w:r>
      <w:r w:rsidRPr="00005FF1">
        <w:t>3</w:t>
      </w:r>
      <w:r w:rsidR="0085484E">
        <w:t>‑</w:t>
      </w:r>
      <w:r w:rsidRPr="00005FF1">
        <w:t>29.</w:t>
      </w:r>
    </w:p>
    <w:p w:rsidR="00F0266C" w:rsidP="00F0266C" w:rsidRDefault="00F0266C" w14:paraId="27DDA719" w14:textId="77777777">
      <w:pPr>
        <w:pStyle w:val="scemptyline"/>
      </w:pPr>
    </w:p>
    <w:p w:rsidR="00F0266C" w:rsidP="00F0266C" w:rsidRDefault="00F0266C" w14:paraId="7D6020B4" w14:textId="77777777">
      <w:pPr>
        <w:pStyle w:val="scnoncodifiedsection"/>
      </w:pPr>
      <w:bookmarkStart w:name="bs_num_2_b919fb304" w:id="17"/>
      <w:r>
        <w:rPr>
          <w:color w:val="000000" w:themeColor="text1"/>
          <w:u w:color="000000" w:themeColor="text1"/>
        </w:rPr>
        <w:t>S</w:t>
      </w:r>
      <w:bookmarkEnd w:id="17"/>
      <w:r>
        <w:t xml:space="preserve">ECTION </w:t>
      </w:r>
      <w:r>
        <w:rPr>
          <w:color w:val="000000" w:themeColor="text1"/>
          <w:u w:color="000000" w:themeColor="text1"/>
        </w:rPr>
        <w:t>2.</w:t>
      </w:r>
      <w:r>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F0266C" w:rsidP="00F0266C" w:rsidRDefault="00F0266C" w14:paraId="6BD38330" w14:textId="77777777">
      <w:pPr>
        <w:pStyle w:val="scemptyline"/>
      </w:pPr>
    </w:p>
    <w:p w:rsidR="00F0266C" w:rsidP="00F0266C" w:rsidRDefault="00F0266C" w14:paraId="2C5CB490" w14:textId="77777777">
      <w:pPr>
        <w:pStyle w:val="scnoncodifiedsection"/>
      </w:pPr>
      <w:bookmarkStart w:name="eff_date_section" w:id="18"/>
      <w:bookmarkStart w:name="bs_num_3_lastsection" w:id="19"/>
      <w:bookmarkEnd w:id="18"/>
      <w:r>
        <w:t>S</w:t>
      </w:r>
      <w:bookmarkEnd w:id="19"/>
      <w:r>
        <w:t>ECTION 3.</w:t>
      </w:r>
      <w:r>
        <w:tab/>
        <w:t>This act takes effect upon approval by the Governor.</w:t>
      </w:r>
    </w:p>
    <w:p w:rsidRPr="00DF3B44" w:rsidR="005516F6" w:rsidP="009E4191" w:rsidRDefault="00F0266C" w14:paraId="7389F665" w14:textId="46619A2E">
      <w:pPr>
        <w:pStyle w:val="scbillendxx"/>
      </w:pPr>
      <w:r>
        <w:noBreakHyphen/>
      </w:r>
      <w:r>
        <w:noBreakHyphen/>
      </w:r>
      <w:r>
        <w:noBreakHyphen/>
      </w:r>
      <w:r>
        <w:noBreakHyphen/>
        <w:t>XX</w:t>
      </w:r>
      <w:r>
        <w:noBreakHyphen/>
      </w:r>
      <w:r>
        <w:noBreakHyphen/>
      </w:r>
      <w:r>
        <w:noBreakHyphen/>
      </w:r>
      <w:r>
        <w:noBreakHyphen/>
      </w:r>
    </w:p>
    <w:sectPr w:rsidRPr="00DF3B44" w:rsidR="005516F6" w:rsidSect="00CE6A7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B852329" w:rsidR="00685035" w:rsidRPr="007B4AF7" w:rsidRDefault="00CE6A7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0266C">
              <w:rPr>
                <w:noProof/>
              </w:rPr>
              <w:t>LC-0012HDB23.docx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rison Brant">
    <w15:presenceInfo w15:providerId="AD" w15:userId="S::HarrisonBrant@scstatehouse.gov::0a8dd0c8-39a0-4a45-ad52-4ce8f6692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7D70"/>
    <w:rsid w:val="00446987"/>
    <w:rsid w:val="00446D28"/>
    <w:rsid w:val="00466CD0"/>
    <w:rsid w:val="00473583"/>
    <w:rsid w:val="00475CC6"/>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27E2"/>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484E"/>
    <w:rsid w:val="008625C1"/>
    <w:rsid w:val="008806F9"/>
    <w:rsid w:val="008A57E3"/>
    <w:rsid w:val="008B5BF4"/>
    <w:rsid w:val="008C0CEE"/>
    <w:rsid w:val="008C1B18"/>
    <w:rsid w:val="008D2C3C"/>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17241"/>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6A7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006"/>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3DEC"/>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266C"/>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5D27E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75&amp;session=125&amp;summary=B" TargetMode="External" Id="Re1015d3e72a2457a" /><Relationship Type="http://schemas.openxmlformats.org/officeDocument/2006/relationships/hyperlink" Target="https://www.scstatehouse.gov/sess125_2023-2024/prever/3175_20221208.docx" TargetMode="External" Id="R08be821e7ee44235" /><Relationship Type="http://schemas.openxmlformats.org/officeDocument/2006/relationships/hyperlink" Target="h:\hj\20230110.docx" TargetMode="External" Id="R47f9500a6ef54825" /><Relationship Type="http://schemas.openxmlformats.org/officeDocument/2006/relationships/hyperlink" Target="h:\hj\20230110.docx" TargetMode="External" Id="R8047eedd564f4ee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2889a63d-1363-4b84-a36d-ef83bf8b78ae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a40c7dd0-9334-4443-b42e-fcad7f406ff5</T_BILL_REQUEST_REQUEST>
  <T_BILL_R_ORIGINALDRAFT>6b93742e-c29a-426c-98eb-8f59d7b75814</T_BILL_R_ORIGINALDRAFT>
  <T_BILL_SPONSOR_SPONSOR>05491f7f-0400-494c-b6a2-4f55bffabcba</T_BILL_SPONSOR_SPONSOR>
  <T_BILL_T_ACTNUMBER>None</T_BILL_T_ACTNUMBER>
  <T_BILL_T_BILLNAME>[3175]</T_BILL_T_BILLNAME>
  <T_BILL_T_BILLNUMBER>3175</T_BILL_T_BILLNUMBER>
  <T_BILL_T_BILLTITLE>TO AMEND the south carolina code of laws by amending SECTION 16‑3‑600, RELATING TO ASSAULT AND BATTERY OFFENSES, SO AS TO ADD THAT ASSAULT AND BATTERY OF A HIGH AND AGGRAVATED NATURE OCCURS WHEN A PERSON INJURES A HEALTH CARE WORKER OR EMERGENCY RESPONSE EMPLOYEE IN THE DISCHARGE OF OR BECAUSE OF THEIR OFFICIAL DUTIES.</T_BILL_T_BILLTITLE>
  <T_BILL_T_CHAMBER>house</T_BILL_T_CHAMBER>
  <T_BILL_T_FILENAME> </T_BILL_T_FILENAME>
  <T_BILL_T_LEGTYPE>bill_statewide</T_BILL_T_LEGTYPE>
  <T_BILL_T_RATNUMBER>None</T_BILL_T_RATNUMBER>
  <T_BILL_T_SECTIONS>[{"SectionUUID":"620e140f-418d-46fd-bd4a-b5ce932b6643","SectionName":"code_section","SectionNumber":1,"SectionType":"code_section","CodeSections":[{"CodeSectionBookmarkName":"cs_T16C3N600_56798a36e","IsConstitutionSection":false,"Identity":"16-3-600","IsNew":false,"SubSections":[{"Level":1,"Identity":"T16C3N600S1","SubSectionBookmarkName":"ss_T16C3N600S1_lv1_40eef0433","IsNewSubSection":false},{"Level":2,"Identity":"T16C3N600Sa","SubSectionBookmarkName":"ss_T16C3N600Sa_lv2_1e920d7d1","IsNewSubSection":false},{"Level":2,"Identity":"T16C3N600Sb","SubSectionBookmarkName":"ss_T16C3N600Sb_lv2_c2e1aa125","IsNewSubSection":false},{"Level":2,"Identity":"T16C3N600Sc","SubSectionBookmarkName":"ss_T16C3N600Sc_lv2_f04073ba2","IsNewSubSection":false},{"Level":1,"Identity":"T16C3N600S2","SubSectionBookmarkName":"ss_T16C3N600S2_lv1_268590c5f","IsNewSubSection":false},{"Level":1,"Identity":"T16C3N600S3","SubSectionBookmarkName":"ss_T16C3N600S3_lv1_f7190fb32","IsNewSubSection":false}],"TitleRelatedTo":"Assault and battery; definitions; degrees of offenses.","TitleSoAsTo":"","Deleted":false}],"TitleText":"","DisableControls":false,"Deleted":false,"SectionBookmarkName":"bs_num_1_8260765ef"},{"SectionUUID":"5330b4c1-e1e2-4e64-9d0c-f19fad2965d9","SectionName":"code_section","SectionNumber":2,"SectionType":"code_section","CodeSections":[],"TitleText":"","DisableControls":false,"Deleted":false,"SectionBookmarkName":"bs_num_2_b919fb304"},{"SectionUUID":"739a0606-1b41-4e02-a71c-0476810ecc07","SectionName":"standard_eff_date_section","SectionNumber":3,"SectionType":"drafting_clause","CodeSections":[],"TitleText":"","DisableControls":false,"Deleted":false,"SectionBookmarkName":"bs_num_3_lastsection"}]</T_BILL_T_SECTIONS>
  <T_BILL_T_SECTIONSHISTORY>[{"Id":1,"SectionsList":[{"SectionUUID":"620e140f-418d-46fd-bd4a-b5ce932b6643","SectionName":"code_section","SectionNumber":1,"SectionType":"code_section","CodeSections":[{"CodeSectionBookmarkName":"cs_T16C3N600_56798a36e","IsConstitutionSection":false,"Identity":"16-3-600","IsNew":false,"SubSections":[],"TitleRelatedTo":"Assault and battery; definitions; degrees of offenses.","TitleSoAsTo":"","Deleted":false}],"TitleText":"","DisableControls":false,"Deleted":false,"SectionBookmarkName":"bs_num_1_8260765ef"},{"SectionUUID":"5330b4c1-e1e2-4e64-9d0c-f19fad2965d9","SectionName":"code_section","SectionNumber":2,"SectionType":"code_section","CodeSections":[],"TitleText":"","DisableControls":false,"Deleted":false,"SectionBookmarkName":"bs_num_2_b919fb304"},{"SectionUUID":"739a0606-1b41-4e02-a71c-0476810ecc07","SectionName":"standard_eff_date_section","SectionNumber":3,"SectionType":"drafting_clause","CodeSections":[],"TitleText":"","DisableControls":false,"Deleted":false,"SectionBookmarkName":"bs_num_3_lastsection"}],"Timestamp":"2022-10-11T10:36:02.0716503-04:00","Username":null},{"Id":2,"SectionsList":[{"SectionUUID":"620e140f-418d-46fd-bd4a-b5ce932b6643","SectionName":"code_section","SectionNumber":1,"SectionType":"code_section","CodeSections":[{"CodeSectionBookmarkName":"cs_T16C3N600_56798a36e","IsConstitutionSection":false,"Identity":"16-3-600","IsNew":false,"SubSections":[{"Level":1,"Identity":"T16C3N600S1","SubSectionBookmarkName":"ss_T16C3N600S1_lv1_40eef0433","IsNewSubSection":false},{"Level":2,"Identity":"T16C3N600Sa","SubSectionBookmarkName":"ss_T16C3N600Sa_lv2_1e920d7d1","IsNewSubSection":false},{"Level":2,"Identity":"T16C3N600Sb","SubSectionBookmarkName":"ss_T16C3N600Sb_lv2_c2e1aa125","IsNewSubSection":false},{"Level":2,"Identity":"T16C3N600Sc","SubSectionBookmarkName":"ss_T16C3N600Sc_lv2_f04073ba2","IsNewSubSection":false},{"Level":1,"Identity":"T16C3N600S2","SubSectionBookmarkName":"ss_T16C3N600S2_lv1_268590c5f","IsNewSubSection":false},{"Level":1,"Identity":"T16C3N600S3","SubSectionBookmarkName":"ss_T16C3N600S3_lv1_f7190fb32","IsNewSubSection":false}],"TitleRelatedTo":"Assault and battery; definitions; degrees of offenses.","TitleSoAsTo":"","Deleted":false}],"TitleText":"","DisableControls":false,"Deleted":false,"SectionBookmarkName":"bs_num_1_8260765ef"},{"SectionUUID":"5330b4c1-e1e2-4e64-9d0c-f19fad2965d9","SectionName":"code_section","SectionNumber":2,"SectionType":"code_section","CodeSections":[],"TitleText":"","DisableControls":false,"Deleted":false,"SectionBookmarkName":"bs_num_2_b919fb304"},{"SectionUUID":"739a0606-1b41-4e02-a71c-0476810ecc07","SectionName":"standard_eff_date_section","SectionNumber":3,"SectionType":"drafting_clause","CodeSections":[],"TitleText":"","DisableControls":false,"Deleted":false,"SectionBookmarkName":"bs_num_3_lastsection"}],"Timestamp":"2022-11-17T14:30:59.2070789-05:00","Username":"julienewboult@scstatehouse.gov"}]</T_BILL_T_SECTIONSHISTORY>
  <T_BILL_T_SUBJECT>Assault and battery on health care workers</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364</Words>
  <Characters>1829</Characters>
  <Application>Microsoft Office Word</Application>
  <DocSecurity>0</DocSecurity>
  <Lines>45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22</cp:revision>
  <cp:lastPrinted>2022-10-20T16:07:00Z</cp:lastPrinted>
  <dcterms:created xsi:type="dcterms:W3CDTF">2022-06-03T11:45:00Z</dcterms:created>
  <dcterms:modified xsi:type="dcterms:W3CDTF">2022-11-17T19:30:00Z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