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3391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Rutherford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LC-0087CM23.docx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Parole, pardon, and clemency hearings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a466197f8f4341e8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156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ed1327fb17b54767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156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4e7c4280c81d4548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0f536a922e0a4258">
        <w:r>
          <w:rPr>
            <w:rStyle w:val="Hyperlink"/>
            <w:u w:val="single"/>
          </w:rPr>
          <w:t>12/08/2022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6B37BD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274C4A" w14:paraId="40FEFADA" w14:textId="714CE2EE">
          <w:pPr>
            <w:pStyle w:val="scbilltitle"/>
            <w:tabs>
              <w:tab w:val="left" w:pos="2104"/>
            </w:tabs>
          </w:pPr>
          <w:r>
            <w:t xml:space="preserve">TO AMEND </w:t>
          </w:r>
          <w:r w:rsidR="00EA2557">
            <w:t xml:space="preserve">the south carolina code of laws by amending </w:t>
          </w:r>
          <w:r>
            <w:t>SECTION 24-21-50, RELATING TO THE CONDUCT OF PAROLE, PARDON, AND CLEMENCY HEARINGS, SO AS TO PROVIDE POTENTIAL PAROLEES BEING CONSIDERED FOR PAROLE OR THEIR COUNSEL HAVE A RIGHT TO CONFRONT WITNESS</w:t>
          </w:r>
          <w:r w:rsidR="00EA2557">
            <w:t>es</w:t>
          </w:r>
          <w:r>
            <w:t xml:space="preserve"> THAT APPEAR BEFORE THE BOARD DURING THEIR HEARING</w:t>
          </w:r>
          <w:r w:rsidR="00EA2557">
            <w:t>s</w:t>
          </w:r>
          <w:r>
            <w:t>, AND ALL TESTIMONY PRESENTED AT PAROLE HEARING</w:t>
          </w:r>
          <w:r w:rsidR="00EA2557">
            <w:t>s</w:t>
          </w:r>
          <w:r>
            <w:t xml:space="preserve"> MUST BE TAKEN UNDER OATH.</w:t>
          </w:r>
        </w:p>
      </w:sdtContent>
    </w:sdt>
    <w:bookmarkStart w:name="at_63539db66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="00274C4A" w:rsidP="00274C4A" w:rsidRDefault="00274C4A" w14:paraId="62569832" w14:textId="77777777">
      <w:pPr>
        <w:pStyle w:val="scenactingwords"/>
      </w:pPr>
      <w:bookmarkStart w:name="ew_fff475348" w:id="1"/>
      <w:r>
        <w:t>B</w:t>
      </w:r>
      <w:bookmarkEnd w:id="1"/>
      <w:r>
        <w:t>e it enacted by the General Assembly of the State of South Carolina:</w:t>
      </w:r>
    </w:p>
    <w:p w:rsidR="00274C4A" w:rsidP="00274C4A" w:rsidRDefault="00274C4A" w14:paraId="2F199FAA" w14:textId="77777777">
      <w:pPr>
        <w:pStyle w:val="scemptyline"/>
      </w:pPr>
    </w:p>
    <w:p w:rsidRPr="0085150A" w:rsidR="00274C4A" w:rsidP="00274C4A" w:rsidRDefault="00274C4A" w14:paraId="050F0D03" w14:textId="6199A6E9">
      <w:pPr>
        <w:pStyle w:val="scdirectionallanguage"/>
      </w:pPr>
      <w:bookmarkStart w:name="bs_num_1_2160903a6" w:id="2"/>
      <w:r>
        <w:t>S</w:t>
      </w:r>
      <w:bookmarkEnd w:id="2"/>
      <w:r>
        <w:t>ECTION 1.</w:t>
      </w:r>
      <w:r>
        <w:tab/>
      </w:r>
      <w:bookmarkStart w:name="dl_377476adb" w:id="3"/>
      <w:r w:rsidRPr="0085150A">
        <w:rPr>
          <w:color w:val="000000" w:themeColor="text1"/>
          <w:u w:color="000000" w:themeColor="text1"/>
        </w:rPr>
        <w:t>S</w:t>
      </w:r>
      <w:bookmarkEnd w:id="3"/>
      <w:r>
        <w:t>ection 24</w:t>
      </w:r>
      <w:r>
        <w:rPr>
          <w:color w:val="000000" w:themeColor="text1"/>
          <w:u w:color="000000" w:themeColor="text1"/>
        </w:rPr>
        <w:noBreakHyphen/>
      </w:r>
      <w:r w:rsidRPr="0085150A">
        <w:rPr>
          <w:color w:val="000000" w:themeColor="text1"/>
          <w:u w:color="000000" w:themeColor="text1"/>
        </w:rPr>
        <w:t>21</w:t>
      </w:r>
      <w:r>
        <w:rPr>
          <w:color w:val="000000" w:themeColor="text1"/>
          <w:u w:color="000000" w:themeColor="text1"/>
        </w:rPr>
        <w:noBreakHyphen/>
      </w:r>
      <w:r w:rsidRPr="0085150A">
        <w:rPr>
          <w:color w:val="000000" w:themeColor="text1"/>
          <w:u w:color="000000" w:themeColor="text1"/>
        </w:rPr>
        <w:t xml:space="preserve">50 of the </w:t>
      </w:r>
      <w:r w:rsidR="001C192A">
        <w:rPr>
          <w:color w:val="000000" w:themeColor="text1"/>
          <w:u w:color="000000" w:themeColor="text1"/>
        </w:rPr>
        <w:t>S.C.</w:t>
      </w:r>
      <w:r w:rsidRPr="0085150A">
        <w:rPr>
          <w:color w:val="000000" w:themeColor="text1"/>
          <w:u w:color="000000" w:themeColor="text1"/>
        </w:rPr>
        <w:t xml:space="preserve"> Code is amended to read:</w:t>
      </w:r>
    </w:p>
    <w:p w:rsidRPr="0085150A" w:rsidR="00274C4A" w:rsidP="00274C4A" w:rsidRDefault="00274C4A" w14:paraId="2D72CDCF" w14:textId="77777777">
      <w:pPr>
        <w:pStyle w:val="scemptyline"/>
      </w:pPr>
    </w:p>
    <w:p w:rsidR="00274C4A" w:rsidP="00274C4A" w:rsidRDefault="00274C4A" w14:paraId="284E4E00" w14:textId="77777777">
      <w:pPr>
        <w:pStyle w:val="sccodifiedsection"/>
      </w:pPr>
      <w:bookmarkStart w:name="cs_T24C21N50_946bd2919" w:id="4"/>
      <w:r w:rsidRPr="0085150A">
        <w:rPr>
          <w:color w:val="000000" w:themeColor="text1"/>
          <w:u w:color="000000" w:themeColor="text1"/>
        </w:rPr>
        <w:t>S</w:t>
      </w:r>
      <w:bookmarkEnd w:id="4"/>
      <w:r>
        <w:t>ection 24</w:t>
      </w:r>
      <w:r>
        <w:rPr>
          <w:color w:val="000000" w:themeColor="text1"/>
          <w:u w:color="000000" w:themeColor="text1"/>
        </w:rPr>
        <w:noBreakHyphen/>
      </w:r>
      <w:r w:rsidRPr="0085150A">
        <w:rPr>
          <w:color w:val="000000" w:themeColor="text1"/>
          <w:u w:color="000000" w:themeColor="text1"/>
        </w:rPr>
        <w:t>21</w:t>
      </w:r>
      <w:r>
        <w:rPr>
          <w:color w:val="000000" w:themeColor="text1"/>
          <w:u w:color="000000" w:themeColor="text1"/>
        </w:rPr>
        <w:noBreakHyphen/>
      </w:r>
      <w:r w:rsidRPr="0085150A">
        <w:rPr>
          <w:color w:val="000000" w:themeColor="text1"/>
          <w:u w:color="000000" w:themeColor="text1"/>
        </w:rPr>
        <w:t>50.</w:t>
      </w:r>
      <w:r w:rsidRPr="0085150A">
        <w:rPr>
          <w:color w:val="000000" w:themeColor="text1"/>
          <w:u w:color="000000" w:themeColor="text1"/>
        </w:rPr>
        <w:tab/>
      </w:r>
      <w:bookmarkStart w:name="ss_T24C21N50SA_lv1_463be3d3e" w:id="5"/>
      <w:r w:rsidRPr="00415BE4">
        <w:rPr>
          <w:rStyle w:val="scinsert"/>
        </w:rPr>
        <w:t>(</w:t>
      </w:r>
      <w:bookmarkEnd w:id="5"/>
      <w:r w:rsidRPr="00415BE4">
        <w:rPr>
          <w:rStyle w:val="scinsert"/>
        </w:rPr>
        <w:t>A)</w:t>
      </w:r>
      <w:r w:rsidRPr="0085150A">
        <w:t xml:space="preserve"> </w:t>
      </w:r>
      <w:r w:rsidRPr="0085150A">
        <w:rPr>
          <w:color w:val="000000" w:themeColor="text1"/>
          <w:u w:color="000000" w:themeColor="text1"/>
        </w:rPr>
        <w:t xml:space="preserve">The board shall grant hearings and permit arguments and appearances by counsel or any individual before it at any such hearing while considering a case for parole, pardon, or any other form of clemency provided for under law. </w:t>
      </w:r>
    </w:p>
    <w:p w:rsidRPr="0085150A" w:rsidR="00274C4A" w:rsidP="00274C4A" w:rsidRDefault="00274C4A" w14:paraId="5F131AA2" w14:textId="77777777">
      <w:pPr>
        <w:pStyle w:val="sccodifiedsection"/>
      </w:pPr>
      <w:r>
        <w:rPr>
          <w:color w:val="000000" w:themeColor="text1"/>
          <w:u w:color="000000" w:themeColor="text1"/>
        </w:rPr>
        <w:tab/>
      </w:r>
      <w:bookmarkStart w:name="ss_T24C21N50SB_lv1_f9daf61ae" w:id="7"/>
      <w:r w:rsidRPr="00BC139F">
        <w:rPr>
          <w:rStyle w:val="scinsert"/>
        </w:rPr>
        <w:t>(</w:t>
      </w:r>
      <w:bookmarkEnd w:id="7"/>
      <w:r w:rsidRPr="00BC139F">
        <w:rPr>
          <w:rStyle w:val="scinsert"/>
        </w:rPr>
        <w:t>B)</w:t>
      </w:r>
      <w:r>
        <w:t xml:space="preserve"> </w:t>
      </w:r>
      <w:r>
        <w:rPr>
          <w:rStyle w:val="scstrike"/>
        </w:rPr>
        <w:t>No</w:t>
      </w:r>
      <w:r w:rsidRPr="008D2551">
        <w:rPr>
          <w:color w:val="000000" w:themeColor="text1"/>
          <w:u w:color="000000" w:themeColor="text1"/>
        </w:rPr>
        <w:t xml:space="preserve"> </w:t>
      </w:r>
      <w:r w:rsidRPr="008D2551">
        <w:rPr>
          <w:rStyle w:val="scinsert"/>
        </w:rPr>
        <w:t>Only a</w:t>
      </w:r>
      <w:r>
        <w:rPr>
          <w:rStyle w:val="scinsert"/>
        </w:rPr>
        <w:t xml:space="preserve"> potential parolee</w:t>
      </w:r>
      <w:r>
        <w:rPr>
          <w:color w:val="000000" w:themeColor="text1"/>
          <w:u w:color="000000" w:themeColor="text1"/>
        </w:rPr>
        <w:t xml:space="preserve"> </w:t>
      </w:r>
      <w:r>
        <w:rPr>
          <w:rStyle w:val="scstrike"/>
        </w:rPr>
        <w:t>inmate</w:t>
      </w:r>
      <w:r w:rsidRPr="008D2551">
        <w:rPr>
          <w:color w:val="000000" w:themeColor="text1"/>
          <w:u w:color="000000" w:themeColor="text1"/>
        </w:rPr>
        <w:t xml:space="preserve"> </w:t>
      </w:r>
      <w:r w:rsidRPr="008D2551">
        <w:rPr>
          <w:rStyle w:val="scinsert"/>
        </w:rPr>
        <w:t>who is being considered for parole</w:t>
      </w:r>
      <w:r w:rsidRPr="00121D30">
        <w:rPr>
          <w:rStyle w:val="scinsert"/>
        </w:rPr>
        <w:t xml:space="preserve"> or their counsel</w:t>
      </w:r>
      <w:r>
        <w:rPr>
          <w:color w:val="000000" w:themeColor="text1"/>
          <w:u w:color="000000" w:themeColor="text1"/>
        </w:rPr>
        <w:t xml:space="preserve"> </w:t>
      </w:r>
      <w:r w:rsidRPr="008D2551">
        <w:rPr>
          <w:color w:val="000000" w:themeColor="text1"/>
          <w:u w:color="000000" w:themeColor="text1"/>
        </w:rPr>
        <w:t xml:space="preserve">has a right of confrontation at </w:t>
      </w:r>
      <w:r w:rsidRPr="00121D30">
        <w:rPr>
          <w:color w:val="000000" w:themeColor="text1"/>
          <w:u w:color="000000" w:themeColor="text1"/>
        </w:rPr>
        <w:t>the</w:t>
      </w:r>
      <w:r w:rsidRPr="008D2551">
        <w:rPr>
          <w:color w:val="000000" w:themeColor="text1"/>
          <w:u w:color="000000" w:themeColor="text1"/>
        </w:rPr>
        <w:t xml:space="preserve"> hearing.</w:t>
      </w:r>
    </w:p>
    <w:p w:rsidR="00274C4A" w:rsidP="00274C4A" w:rsidRDefault="00274C4A" w14:paraId="7AF1A160" w14:textId="77777777">
      <w:pPr>
        <w:pStyle w:val="sccodifiedsection"/>
      </w:pPr>
      <w:r w:rsidRPr="0085150A">
        <w:rPr>
          <w:color w:val="000000" w:themeColor="text1"/>
          <w:u w:color="000000" w:themeColor="text1"/>
        </w:rPr>
        <w:tab/>
      </w:r>
      <w:bookmarkStart w:name="ss_T24C21N50SC_lv1_4b2ffa400" w:id="13"/>
      <w:r w:rsidRPr="00FF39C0">
        <w:rPr>
          <w:rStyle w:val="scinsert"/>
        </w:rPr>
        <w:t>(</w:t>
      </w:r>
      <w:bookmarkEnd w:id="13"/>
      <w:r>
        <w:rPr>
          <w:rStyle w:val="scinsert"/>
        </w:rPr>
        <w:t>C</w:t>
      </w:r>
      <w:r w:rsidRPr="0085150A">
        <w:rPr>
          <w:rStyle w:val="scinsert"/>
        </w:rPr>
        <w:t>)</w:t>
      </w:r>
      <w:r w:rsidRPr="00415BE4">
        <w:t xml:space="preserve"> </w:t>
      </w:r>
      <w:r w:rsidRPr="0085150A">
        <w:rPr>
          <w:rStyle w:val="scinsert"/>
        </w:rPr>
        <w:t xml:space="preserve">All testimony presented at a </w:t>
      </w:r>
      <w:r>
        <w:rPr>
          <w:rStyle w:val="scinsert"/>
        </w:rPr>
        <w:t xml:space="preserve">parole </w:t>
      </w:r>
      <w:r w:rsidRPr="0085150A">
        <w:rPr>
          <w:rStyle w:val="scinsert"/>
        </w:rPr>
        <w:t>hearing must be taken under oath.</w:t>
      </w:r>
    </w:p>
    <w:p w:rsidR="00274C4A" w:rsidP="00274C4A" w:rsidRDefault="00274C4A" w14:paraId="22C8C8A0" w14:textId="77777777">
      <w:pPr>
        <w:pStyle w:val="scemptyline"/>
      </w:pPr>
    </w:p>
    <w:p w:rsidR="00274C4A" w:rsidP="00274C4A" w:rsidRDefault="00274C4A" w14:paraId="0BC57992" w14:textId="77777777">
      <w:pPr>
        <w:pStyle w:val="scnoncodifiedsection"/>
      </w:pPr>
      <w:bookmarkStart w:name="eff_date_section" w:id="16"/>
      <w:bookmarkStart w:name="bs_num_2_lastsection" w:id="17"/>
      <w:bookmarkEnd w:id="16"/>
      <w:r>
        <w:t>S</w:t>
      </w:r>
      <w:bookmarkEnd w:id="17"/>
      <w:r>
        <w:t>ECTION 2.</w:t>
      </w:r>
      <w:r>
        <w:tab/>
        <w:t>This act takes effect upon approval by the Governor.</w:t>
      </w:r>
    </w:p>
    <w:p w:rsidRPr="00DF3B44" w:rsidR="005516F6" w:rsidP="009E4191" w:rsidRDefault="00274C4A" w14:paraId="7389F665" w14:textId="1F8FCE94">
      <w:pPr>
        <w:pStyle w:val="scbillendxx"/>
      </w:pPr>
      <w:r>
        <w:noBreakHyphen/>
      </w:r>
      <w:r>
        <w:noBreakHyphen/>
      </w:r>
      <w:r>
        <w:noBreakHyphen/>
      </w:r>
      <w:r>
        <w:noBreakHyphen/>
        <w:t>XX</w:t>
      </w:r>
      <w:r>
        <w:noBreakHyphen/>
      </w:r>
      <w:r>
        <w:noBreakHyphen/>
      </w:r>
      <w:r>
        <w:noBreakHyphen/>
      </w:r>
      <w:r>
        <w:noBreakHyphen/>
      </w:r>
    </w:p>
    <w:sectPr w:rsidRPr="00DF3B44" w:rsidR="005516F6" w:rsidSect="002B4CB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6569ACE3" w:rsidR="00685035" w:rsidRPr="007B4AF7" w:rsidRDefault="002B4CBE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274C4A">
              <w:rPr>
                <w:noProof/>
              </w:rPr>
              <w:t>LC-0087CM23.docx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05EFF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192A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4C4A"/>
    <w:rsid w:val="00275AE6"/>
    <w:rsid w:val="002836D8"/>
    <w:rsid w:val="002A7989"/>
    <w:rsid w:val="002B02F3"/>
    <w:rsid w:val="002B4CBE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03145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71F9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145E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57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3C7D"/>
    <w:rPr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styleId="scemptylineheader" w:customStyle="1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styleId="scbillheader" w:customStyle="1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styleId="scbilltitle" w:customStyle="1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styleId="scenactingwords" w:customStyle="1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sccodifiedsection" w:customStyle="1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scnewcodesection" w:customStyle="1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styleId="scdirectionallanguage" w:customStyle="1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scnoncodifiedsection" w:customStyle="1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scemptyline" w:customStyle="1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schousefrontjacketheaderline1" w:customStyle="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styleId="schousefrontjacketheaderline2" w:customStyle="1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styleId="scjacketsponsors" w:customStyle="1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styleId="scbillheaderjacket" w:customStyle="1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styleId="scjackettitle" w:customStyle="1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styleId="schousebackjacketemptylines" w:customStyle="1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styleId="schousebackjacketline1" w:customStyle="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styleId="schousebackjacketemptyline2" w:customStyle="1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styleId="schousebackjacketline2" w:customStyle="1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styleId="schousejacketdirector" w:customStyle="1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styleId="schousebackjacketattybilltype" w:customStyle="1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styleId="schousebackjacketproofreadline" w:customStyle="1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styleId="scclippage" w:customStyle="1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styleId="scclippagedocpath" w:customStyle="1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styleId="scclippageDocName" w:customStyle="1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styleId="scclippagebillheader" w:customStyle="1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styleId="scclippagetitle" w:customStyle="1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styleId="scnewcodesectionnextsection" w:customStyle="1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styleId="scbillfooter" w:customStyle="1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ctables" w:customStyle="1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cdraftheader" w:customStyle="1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styleId="sccoversheetstricken" w:customStyle="1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styleId="sccoversheetunderline" w:customStyle="1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styleId="sccoversheetemptyline" w:customStyle="1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styleId="sccoversheetstatus" w:customStyle="1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styleId="sccoversheetinfo" w:customStyle="1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styleId="sccoversheetbillno" w:customStyle="1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styleId="sccoversheetsponsor6" w:customStyle="1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styleId="scbillendxx" w:customStyle="1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styleId="scbillwhereasclause" w:customStyle="1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 w:eastAsiaTheme="majorEastAsia" w:cstheme="majorBidi"/>
      <w:szCs w:val="32"/>
      <w:lang w:val="en-US"/>
    </w:rPr>
  </w:style>
  <w:style w:type="paragraph" w:styleId="sctablecodifiedsection" w:customStyle="1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styleId="sctableln" w:customStyle="1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styleId="sctablenoncodifiedsection" w:customStyle="1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styleId="scstrike" w:customStyle="1">
    <w:name w:val="sc_strike"/>
    <w:uiPriority w:val="1"/>
    <w:qFormat/>
    <w:rsid w:val="00BD42DA"/>
    <w:rPr>
      <w:strike/>
      <w:dstrike w:val="0"/>
    </w:rPr>
  </w:style>
  <w:style w:type="character" w:styleId="scinsert" w:customStyle="1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styleId="scinsertred" w:customStyle="1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styleId="scinsertblue" w:customStyle="1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styleId="scstrikered" w:customStyle="1">
    <w:name w:val="sc_strike_red"/>
    <w:uiPriority w:val="1"/>
    <w:qFormat/>
    <w:rsid w:val="00711AA9"/>
    <w:rPr>
      <w:strike/>
      <w:dstrike w:val="0"/>
      <w:color w:val="FF0000"/>
    </w:rPr>
  </w:style>
  <w:style w:type="character" w:styleId="scstrikeblue" w:customStyle="1">
    <w:name w:val="sc_strike_blue"/>
    <w:uiPriority w:val="1"/>
    <w:qFormat/>
    <w:rsid w:val="00711AA9"/>
    <w:rPr>
      <w:strike/>
      <w:dstrike w:val="0"/>
      <w:color w:val="0070C0"/>
    </w:rPr>
  </w:style>
  <w:style w:type="character" w:styleId="scinsertbluenounderline" w:customStyle="1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styleId="scinsertrednounderline" w:customStyle="1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styleId="scstrikebluenoncodified" w:customStyle="1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styleId="scstrikerednoncodified" w:customStyle="1">
    <w:name w:val="sc_strike_red_non_codified"/>
    <w:uiPriority w:val="1"/>
    <w:qFormat/>
    <w:rsid w:val="005A28BC"/>
    <w:rPr>
      <w:strike/>
      <w:dstrike w:val="0"/>
      <w:color w:val="FF0000"/>
    </w:rPr>
  </w:style>
  <w:style w:type="paragraph" w:styleId="scbillsiglines" w:customStyle="1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screstorecode" w:customStyle="1">
    <w:name w:val="sc_restore_code"/>
    <w:basedOn w:val="DefaultParagraphFont"/>
    <w:uiPriority w:val="1"/>
    <w:qFormat/>
    <w:rsid w:val="006964F9"/>
    <w:rPr>
      <w:bdr w:val="none" w:color="auto" w:sz="0" w:space="0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391&amp;session=125&amp;summary=B" TargetMode="External" Id="R4e7c4280c81d4548" /><Relationship Type="http://schemas.openxmlformats.org/officeDocument/2006/relationships/hyperlink" Target="https://www.scstatehouse.gov/sess125_2023-2024/prever/3391_20221208.docx" TargetMode="External" Id="R0f536a922e0a4258" /><Relationship Type="http://schemas.openxmlformats.org/officeDocument/2006/relationships/hyperlink" Target="h:\hj\20230110.docx" TargetMode="External" Id="Ra466197f8f4341e8" /><Relationship Type="http://schemas.openxmlformats.org/officeDocument/2006/relationships/hyperlink" Target="h:\hj\20230110.docx" TargetMode="External" Id="Red1327fb17b54767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wb360Metadata xmlns="http://schemas.openxmlformats.org/package/2006/metadata/lwb360-metadata">
  <FILENAME>&lt;&lt;filename&gt;&gt;</FILENAME>
  <ID>62c3b945-d7ca-4a9a-b382-4de768477a2c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HOUSEINTRODATE>2023-01-10</T_BILL_D_HOUSEINTRODATE>
  <T_BILL_D_INTRODATE>2023-01-10</T_BILL_D_INTRODATE>
  <T_BILL_D_PREFILEDATE>2022-12-08</T_BILL_D_PREFILEDATE>
  <T_BILL_N_INTERNALVERSIONNUMBER>1</T_BILL_N_INTERNALVERSIONNUMBER>
  <T_BILL_N_SESSION>125</T_BILL_N_SESSION>
  <T_BILL_N_VERSIONNUMBER>1</T_BILL_N_VERSIONNUMBER>
  <T_BILL_N_YEAR>2023</T_BILL_N_YEAR>
  <T_BILL_REQUEST_REQUEST>4cb568bc-d10b-4f39-9c97-1e70397c1654</T_BILL_REQUEST_REQUEST>
  <T_BILL_R_ORIGINALDRAFT>14f507d8-dc34-40c0-b9fd-08038c431dc7</T_BILL_R_ORIGINALDRAFT>
  <T_BILL_SPONSOR_SPONSOR>b2136199-117e-4ca1-8f14-47ba232bb14f</T_BILL_SPONSOR_SPONSOR>
  <T_BILL_T_ACTNUMBER>None</T_BILL_T_ACTNUMBER>
  <T_BILL_T_BILLNAME>[3391]</T_BILL_T_BILLNAME>
  <T_BILL_T_BILLNUMBER>3391</T_BILL_T_BILLNUMBER>
  <T_BILL_T_BILLTITLE>TO AMEND the south carolina code of laws by amending SECTION 24-21-50, RELATING TO THE CONDUCT OF PAROLE, PARDON, AND CLEMENCY HEARINGS, SO AS TO PROVIDE POTENTIAL PAROLEES BEING CONSIDERED FOR PAROLE OR THEIR COUNSEL HAVE A RIGHT TO CONFRONT WITNESSes THAT APPEAR BEFORE THE BOARD DURING THEIR HEARINGs, AND ALL TESTIMONY PRESENTED AT PAROLE HEARINGs MUST BE TAKEN UNDER OATH.</T_BILL_T_BILLTITLE>
  <T_BILL_T_CHAMBER>house</T_BILL_T_CHAMBER>
  <T_BILL_T_FILENAME> </T_BILL_T_FILENAME>
  <T_BILL_T_LEGTYPE>bill_statewide</T_BILL_T_LEGTYPE>
  <T_BILL_T_RATNUMBER>None</T_BILL_T_RATNUMBER>
  <T_BILL_T_SECTIONS>[{"SectionUUID":"fae10e99-8c84-4669-b374-24a1bf02bf13","SectionName":"code_section","SectionNumber":1,"SectionType":"code_section","CodeSections":[{"CodeSectionBookmarkName":"cs_T24C21N50_946bd2919","IsConstitutionSection":false,"Identity":"24-21-50","IsNew":false,"SubSections":[{"Level":1,"Identity":"T24C21N50SA","SubSectionBookmarkName":"ss_T24C21N50SA_lv1_463be3d3e","IsNewSubSection":false},{"Level":1,"Identity":"T24C21N50SB","SubSectionBookmarkName":"ss_T24C21N50SB_lv1_f9daf61ae","IsNewSubSection":false},{"Level":1,"Identity":"T24C21N50SC","SubSectionBookmarkName":"ss_T24C21N50SC_lv1_4b2ffa400","IsNewSubSection":false}],"TitleRelatedTo":"Hearings, arguments, and appearances by counsel or individuals.","TitleSoAsTo":"","Deleted":false}],"TitleText":"","DisableControls":false,"Deleted":false,"SectionBookmarkName":"bs_num_1_2160903a6"},{"SectionUUID":"e4fdb7cf-1bd1-43ee-b68a-cb471095cd2b","SectionName":"standard_eff_date_section","SectionNumber":2,"SectionType":"drafting_clause","CodeSections":[],"TitleText":"","DisableControls":false,"Deleted":false,"SectionBookmarkName":"bs_num_2_lastsection"}]</T_BILL_T_SECTIONS>
  <T_BILL_T_SECTIONSHISTORY>[{"Id":1,"SectionsList":[{"SectionUUID":"fae10e99-8c84-4669-b374-24a1bf02bf13","SectionName":"code_section","SectionNumber":1,"SectionType":"code_section","CodeSections":[{"CodeSectionBookmarkName":"cs_T24C21N50_946bd2919","IsConstitutionSection":false,"Identity":"24-21-50","IsNew":false,"SubSections":[],"TitleRelatedTo":"Hearings, arguments, and appearances by counsel or individuals.","TitleSoAsTo":"","Deleted":false}],"TitleText":"","DisableControls":false,"Deleted":false,"SectionBookmarkName":"bs_num_1_2160903a6"},{"SectionUUID":"e4fdb7cf-1bd1-43ee-b68a-cb471095cd2b","SectionName":"standard_eff_date_section","SectionNumber":2,"SectionType":"drafting_clause","CodeSections":[],"TitleText":"","DisableControls":false,"Deleted":false,"SectionBookmarkName":"bs_num_2_lastsection"}],"Timestamp":"2022-11-17T12:07:04.4359481-05:00","Username":null},{"Id":2,"SectionsList":[{"SectionUUID":"fae10e99-8c84-4669-b374-24a1bf02bf13","SectionName":"code_section","SectionNumber":1,"SectionType":"code_section","CodeSections":[{"CodeSectionBookmarkName":"cs_T24C21N50_946bd2919","IsConstitutionSection":false,"Identity":"24-21-50","IsNew":false,"SubSections":[{"Level":1,"Identity":"T24C21N50SA","SubSectionBookmarkName":"ss_T24C21N50SA_lv1_463be3d3e","IsNewSubSection":false},{"Level":1,"Identity":"T24C21N50SB","SubSectionBookmarkName":"ss_T24C21N50SB_lv1_f9daf61ae","IsNewSubSection":false},{"Level":1,"Identity":"T24C21N50SC","SubSectionBookmarkName":"ss_T24C21N50SC_lv1_4b2ffa400","IsNewSubSection":false}],"TitleRelatedTo":"Hearings, arguments, and appearances by counsel or individuals.","TitleSoAsTo":"","Deleted":false}],"TitleText":"","DisableControls":false,"Deleted":false,"SectionBookmarkName":"bs_num_1_2160903a6"},{"SectionUUID":"e4fdb7cf-1bd1-43ee-b68a-cb471095cd2b","SectionName":"standard_eff_date_section","SectionNumber":2,"SectionType":"drafting_clause","CodeSections":[],"TitleText":"","DisableControls":false,"Deleted":false,"SectionBookmarkName":"bs_num_2_lastsection"}],"Timestamp":"2022-11-17T15:07:16.0382537-05:00","Username":"gwenthurmond@scstatehouse.gov"}]</T_BILL_T_SECTIONSHISTORY>
  <T_BILL_T_SUBJECT>Parole, pardon and clemency hearings</T_BILL_T_SUBJECT>
  <T_BILL_UR_DRAFTER>carlmcintosh@scstatehouse.gov</T_BILL_UR_DRAFTER>
  <T_BILL_UR_DRAFTINGASSISTANT>gwenthurmond@scstatehouse.gov</T_BILL_UR_DRAFTINGASSISTANT>
</lwb360Metadata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181</Words>
  <Characters>890</Characters>
  <Application>Microsoft Office Word</Application>
  <DocSecurity>0</DocSecurity>
  <Lines>31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Gwen Thurmond</cp:lastModifiedBy>
  <cp:revision>23</cp:revision>
  <cp:lastPrinted>2022-11-17T20:07:00Z</cp:lastPrinted>
  <dcterms:created xsi:type="dcterms:W3CDTF">2022-06-03T11:45:00Z</dcterms:created>
  <dcterms:modified xsi:type="dcterms:W3CDTF">2022-11-17T20:07:00Z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