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Long, McCravy, Burns, Magnuson, Chumley, Pace, Kilmartin, Beach, Harris, Leber, Nutt, Hartnett and Oremus</w:t>
      </w:r>
    </w:p>
    <w:p>
      <w:pPr>
        <w:widowControl w:val="false"/>
        <w:spacing w:after="0"/>
        <w:jc w:val="left"/>
      </w:pPr>
      <w:r>
        <w:rPr>
          <w:rFonts w:ascii="Times New Roman"/>
          <w:sz w:val="22"/>
        </w:rPr>
        <w:t xml:space="preserve">Document Path: LC-0131WAB23.docx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Critical race theory instruction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45450da455ff4537">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bb968aeee0fb4a4d">
        <w:r w:rsidRPr="00770434">
          <w:rPr>
            <w:rStyle w:val="Hyperlink"/>
          </w:rPr>
          <w:t>House Journal</w:t>
        </w:r>
        <w:r w:rsidRPr="00770434">
          <w:rPr>
            <w:rStyle w:val="Hyperlink"/>
          </w:rPr>
          <w:noBreakHyphen/>
          <w:t>page 177</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Leber, 
 Nutt, Hartnett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spacing w:after="0"/>
        <w:jc w:val="left"/>
      </w:pPr>
    </w:p>
    <w:p>
      <w:pPr>
        <w:widowControl w:val="false"/>
        <w:spacing w:after="0"/>
        <w:jc w:val="left"/>
      </w:pPr>
      <w:r>
        <w:rPr>
          <w:rFonts w:ascii="Times New Roman"/>
          <w:sz w:val="22"/>
        </w:rPr>
        <w:t xml:space="preserve">View the latest </w:t>
      </w:r>
      <w:hyperlink r:id="R56020e71294340b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421f7b6adf492e">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B4643" w:rsidRDefault="00432135" w14:paraId="47642A99" w14:textId="77D3EBF3">
      <w:pPr>
        <w:pStyle w:val="scemptylineheader"/>
      </w:pPr>
    </w:p>
    <w:p w:rsidRPr="00BB0725" w:rsidR="00A73EFA" w:rsidP="00FB4643" w:rsidRDefault="00A73EFA" w14:paraId="7B72410E" w14:textId="180FB0D5">
      <w:pPr>
        <w:pStyle w:val="scemptylineheader"/>
      </w:pPr>
    </w:p>
    <w:p w:rsidRPr="00BB0725" w:rsidR="00A73EFA" w:rsidP="00FB4643" w:rsidRDefault="00A73EFA" w14:paraId="6AD935C9" w14:textId="2CFF900E">
      <w:pPr>
        <w:pStyle w:val="scemptylineheader"/>
      </w:pPr>
    </w:p>
    <w:p w:rsidRPr="00DF3B44" w:rsidR="00A73EFA" w:rsidP="00FB4643" w:rsidRDefault="00A73EFA" w14:paraId="51A98227" w14:textId="63463729">
      <w:pPr>
        <w:pStyle w:val="scemptylineheader"/>
      </w:pPr>
    </w:p>
    <w:p w:rsidRPr="00DF3B44" w:rsidR="00A73EFA" w:rsidP="00FB4643" w:rsidRDefault="00A73EFA" w14:paraId="3858851A" w14:textId="17BF0414">
      <w:pPr>
        <w:pStyle w:val="scemptylineheader"/>
      </w:pPr>
    </w:p>
    <w:p w:rsidRPr="00DF3B44" w:rsidR="00A73EFA" w:rsidP="00FB4643" w:rsidRDefault="00A73EFA" w14:paraId="4E3DDE20" w14:textId="160C21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45CA8" w14:paraId="40FEFADA" w14:textId="45CC49B4">
          <w:pPr>
            <w:pStyle w:val="scbilltitle"/>
            <w:tabs>
              <w:tab w:val="left" w:pos="2104"/>
            </w:tabs>
          </w:pPr>
          <w:r>
            <w:t>to amend the South Carolina Code of Laws by adding Section 59‑29‑12 so as to PROVIDE PUBLIC SCHOOL DISTRICTS, PUBLIC SCHOOLS, AND PUBLIC INSTITUTIONS OF HIGHER LEARNING MAY NOT DIRECT OR OTHERWISE COMPEL STUDENTS TO PERSONALLY AFFIRM, ADOPT, OR ADHERE TO THE TENETS OF “CRITICAL RACE THEORY” OR PROVIDE RELATED INSTRUCTION, AND TO DEFINE NECESSARY TERMINOLOGY.</w:t>
          </w:r>
        </w:p>
      </w:sdtContent>
    </w:sdt>
    <w:bookmarkStart w:name="at_d3e00ce5a" w:displacedByCustomXml="prev" w:id="0"/>
    <w:bookmarkEnd w:id="0"/>
    <w:p w:rsidRPr="00DF3B44" w:rsidR="006C18F0" w:rsidP="006C18F0" w:rsidRDefault="006C18F0" w14:paraId="5BAAC1B7" w14:textId="77777777">
      <w:pPr>
        <w:pStyle w:val="scbillwhereasclause"/>
      </w:pPr>
    </w:p>
    <w:p w:rsidR="00184F54" w:rsidP="00184F54" w:rsidRDefault="00184F54" w14:paraId="655BC53F" w14:textId="77777777">
      <w:pPr>
        <w:pStyle w:val="scenactingwords"/>
      </w:pPr>
      <w:bookmarkStart w:name="ew_c506707e4" w:id="1"/>
      <w:r>
        <w:t>B</w:t>
      </w:r>
      <w:bookmarkEnd w:id="1"/>
      <w:r>
        <w:t>e it enacted by the General Assembly of the State of South Carolina:</w:t>
      </w:r>
    </w:p>
    <w:p w:rsidR="00184F54" w:rsidP="00184F54" w:rsidRDefault="00184F54" w14:paraId="0CAAE8B1" w14:textId="77777777">
      <w:pPr>
        <w:pStyle w:val="scemptyline"/>
      </w:pPr>
    </w:p>
    <w:p w:rsidRPr="0071521F" w:rsidR="00184F54" w:rsidP="00184F54" w:rsidRDefault="00184F54" w14:paraId="13AD89DF" w14:textId="7A16C907">
      <w:pPr>
        <w:pStyle w:val="scdirectionallanguage"/>
      </w:pPr>
      <w:bookmarkStart w:name="bs_num_1_11cdeafb1" w:id="2"/>
      <w:r>
        <w:t>S</w:t>
      </w:r>
      <w:bookmarkEnd w:id="2"/>
      <w:r>
        <w:t>ECTION 1.</w:t>
      </w:r>
      <w:r>
        <w:tab/>
      </w:r>
      <w:bookmarkStart w:name="dl_a0d825d51" w:id="3"/>
      <w:r w:rsidRPr="0071521F">
        <w:rPr>
          <w:color w:val="000000" w:themeColor="text1"/>
          <w:u w:color="000000" w:themeColor="text1"/>
        </w:rPr>
        <w:t>A</w:t>
      </w:r>
      <w:bookmarkEnd w:id="3"/>
      <w:r>
        <w:t xml:space="preserve">rticle 1, Chapter 29, Title 59 of the </w:t>
      </w:r>
      <w:r w:rsidR="00DE4AF6">
        <w:t>S.C.</w:t>
      </w:r>
      <w:r>
        <w:t xml:space="preserve"> Code is amended by adding:</w:t>
      </w:r>
    </w:p>
    <w:p w:rsidRPr="0071521F" w:rsidR="00184F54" w:rsidP="00184F54" w:rsidRDefault="00184F54" w14:paraId="038EF300" w14:textId="77777777">
      <w:pPr>
        <w:pStyle w:val="scemptyline"/>
      </w:pPr>
    </w:p>
    <w:p w:rsidRPr="0071521F" w:rsidR="00184F54" w:rsidP="00184F54" w:rsidRDefault="00184F54" w14:paraId="1E0D0950" w14:textId="77777777">
      <w:pPr>
        <w:pStyle w:val="scnewcodesection"/>
      </w:pPr>
      <w:r>
        <w:rPr>
          <w:color w:val="000000" w:themeColor="text1"/>
          <w:u w:color="000000" w:themeColor="text1"/>
        </w:rPr>
        <w:tab/>
      </w:r>
      <w:bookmarkStart w:name="ns_T59C29N12_9eb264f61" w:id="4"/>
      <w:r w:rsidRPr="0071521F">
        <w:rPr>
          <w:color w:val="000000" w:themeColor="text1"/>
          <w:u w:color="000000" w:themeColor="text1"/>
        </w:rPr>
        <w:t>S</w:t>
      </w:r>
      <w:bookmarkEnd w:id="4"/>
      <w:r>
        <w:t>ection 59</w:t>
      </w:r>
      <w:r>
        <w:rPr>
          <w:color w:val="000000" w:themeColor="text1"/>
          <w:u w:color="000000" w:themeColor="text1"/>
        </w:rPr>
        <w:noBreakHyphen/>
      </w:r>
      <w:r w:rsidRPr="0071521F">
        <w:rPr>
          <w:color w:val="000000" w:themeColor="text1"/>
          <w:u w:color="000000" w:themeColor="text1"/>
        </w:rPr>
        <w:t>29</w:t>
      </w:r>
      <w:r>
        <w:rPr>
          <w:color w:val="000000" w:themeColor="text1"/>
          <w:u w:color="000000" w:themeColor="text1"/>
        </w:rPr>
        <w:noBreakHyphen/>
      </w:r>
      <w:r w:rsidRPr="0071521F">
        <w:rPr>
          <w:color w:val="000000" w:themeColor="text1"/>
          <w:u w:color="000000" w:themeColor="text1"/>
        </w:rPr>
        <w:t>12.</w:t>
      </w:r>
      <w:r>
        <w:rPr>
          <w:color w:val="000000" w:themeColor="text1"/>
          <w:u w:color="000000" w:themeColor="text1"/>
        </w:rPr>
        <w:tab/>
      </w:r>
      <w:bookmarkStart w:name="ss_T59C29N12SA_lv1_e72a77394" w:id="5"/>
      <w:r>
        <w:rPr>
          <w:color w:val="000000" w:themeColor="text1"/>
          <w:u w:color="000000" w:themeColor="text1"/>
        </w:rPr>
        <w:t>(</w:t>
      </w:r>
      <w:bookmarkEnd w:id="5"/>
      <w:r>
        <w:rPr>
          <w:color w:val="000000" w:themeColor="text1"/>
          <w:u w:color="000000" w:themeColor="text1"/>
        </w:rPr>
        <w:t>A)</w:t>
      </w:r>
      <w:r>
        <w:t xml:space="preserve"> </w:t>
      </w:r>
      <w:r>
        <w:rPr>
          <w:color w:val="000000" w:themeColor="text1"/>
          <w:u w:color="000000" w:themeColor="text1"/>
        </w:rPr>
        <w:t>P</w:t>
      </w:r>
      <w:r w:rsidRPr="0071521F">
        <w:rPr>
          <w:color w:val="000000" w:themeColor="text1"/>
          <w:u w:color="000000" w:themeColor="text1"/>
        </w:rPr>
        <w:t>ublic school district</w:t>
      </w:r>
      <w:r>
        <w:rPr>
          <w:color w:val="000000" w:themeColor="text1"/>
          <w:u w:color="000000" w:themeColor="text1"/>
        </w:rPr>
        <w:t>s,</w:t>
      </w:r>
      <w:r w:rsidRPr="0071521F">
        <w:rPr>
          <w:color w:val="000000" w:themeColor="text1"/>
          <w:u w:color="000000" w:themeColor="text1"/>
        </w:rPr>
        <w:t xml:space="preserve"> public school</w:t>
      </w:r>
      <w:r>
        <w:rPr>
          <w:color w:val="000000" w:themeColor="text1"/>
          <w:u w:color="000000" w:themeColor="text1"/>
        </w:rPr>
        <w:t>s</w:t>
      </w:r>
      <w:r w:rsidRPr="0071521F">
        <w:rPr>
          <w:color w:val="000000" w:themeColor="text1"/>
          <w:u w:color="000000" w:themeColor="text1"/>
        </w:rPr>
        <w:t xml:space="preserve">, </w:t>
      </w:r>
      <w:r>
        <w:rPr>
          <w:color w:val="000000" w:themeColor="text1"/>
          <w:u w:color="000000" w:themeColor="text1"/>
        </w:rPr>
        <w:t>and public institutions of higher learning</w:t>
      </w:r>
      <w:r w:rsidRPr="0071521F">
        <w:rPr>
          <w:color w:val="000000" w:themeColor="text1"/>
          <w:u w:color="000000" w:themeColor="text1"/>
        </w:rPr>
        <w:t xml:space="preserve"> may not:</w:t>
      </w:r>
    </w:p>
    <w:p w:rsidRPr="0071521F" w:rsidR="00184F54" w:rsidP="00184F54" w:rsidRDefault="00184F54" w14:paraId="752B1262" w14:textId="77777777">
      <w:pPr>
        <w:pStyle w:val="scnewcodesection"/>
      </w:pPr>
      <w:r>
        <w:rPr>
          <w:color w:val="000000" w:themeColor="text1"/>
          <w:u w:color="000000" w:themeColor="text1"/>
        </w:rPr>
        <w:tab/>
      </w:r>
      <w:r>
        <w:rPr>
          <w:color w:val="000000" w:themeColor="text1"/>
          <w:u w:color="000000" w:themeColor="text1"/>
        </w:rPr>
        <w:tab/>
      </w:r>
      <w:bookmarkStart w:name="ss_T59C29N12S1_lv2_6f20dfad8" w:id="6"/>
      <w:r>
        <w:rPr>
          <w:color w:val="000000" w:themeColor="text1"/>
          <w:u w:color="000000" w:themeColor="text1"/>
        </w:rPr>
        <w:t>(</w:t>
      </w:r>
      <w:bookmarkEnd w:id="6"/>
      <w:r>
        <w:rPr>
          <w:color w:val="000000" w:themeColor="text1"/>
          <w:u w:color="000000" w:themeColor="text1"/>
        </w:rPr>
        <w:t>1)</w:t>
      </w:r>
      <w:r>
        <w:t xml:space="preserve"> </w:t>
      </w:r>
      <w:r w:rsidRPr="0071521F">
        <w:rPr>
          <w:color w:val="000000" w:themeColor="text1"/>
          <w:u w:color="000000" w:themeColor="text1"/>
        </w:rPr>
        <w:t>direct or otherwise compel students to personally affirm, adopt, or adhere to the tenets of critical race theory; or</w:t>
      </w:r>
    </w:p>
    <w:p w:rsidRPr="0071521F" w:rsidR="00184F54" w:rsidP="00184F54" w:rsidRDefault="00184F54" w14:paraId="106D2F04" w14:textId="679AB5F1">
      <w:pPr>
        <w:pStyle w:val="scnewcodesection"/>
      </w:pPr>
      <w:r>
        <w:rPr>
          <w:color w:val="000000" w:themeColor="text1"/>
          <w:u w:color="000000" w:themeColor="text1"/>
        </w:rPr>
        <w:tab/>
      </w:r>
      <w:r w:rsidRPr="0071521F">
        <w:rPr>
          <w:color w:val="000000" w:themeColor="text1"/>
          <w:u w:color="000000" w:themeColor="text1"/>
        </w:rPr>
        <w:tab/>
      </w:r>
      <w:bookmarkStart w:name="ss_T59C29N12S2_lv2_197dc8984" w:id="7"/>
      <w:r w:rsidRPr="0071521F">
        <w:rPr>
          <w:color w:val="000000" w:themeColor="text1"/>
          <w:u w:color="000000" w:themeColor="text1"/>
        </w:rPr>
        <w:t>(</w:t>
      </w:r>
      <w:bookmarkEnd w:id="7"/>
      <w:r w:rsidRPr="0071521F">
        <w:rPr>
          <w:color w:val="000000" w:themeColor="text1"/>
          <w:u w:color="000000" w:themeColor="text1"/>
        </w:rPr>
        <w:t>2)</w:t>
      </w:r>
      <w:r>
        <w:t xml:space="preserve"> </w:t>
      </w:r>
      <w:r w:rsidRPr="0071521F">
        <w:rPr>
          <w:color w:val="000000" w:themeColor="text1"/>
          <w:u w:color="000000" w:themeColor="text1"/>
        </w:rPr>
        <w:t>introduce a course of instruction or unit of study directing or otherwise compelling students to personally affirm, adopt, or adhere to any</w:t>
      </w:r>
      <w:r>
        <w:rPr>
          <w:color w:val="000000" w:themeColor="text1"/>
          <w:u w:color="000000" w:themeColor="text1"/>
        </w:rPr>
        <w:t xml:space="preserve"> of the tenets of critical race</w:t>
      </w:r>
      <w:r w:rsidRPr="0071521F">
        <w:rPr>
          <w:color w:val="000000" w:themeColor="text1"/>
          <w:u w:color="000000" w:themeColor="text1"/>
        </w:rPr>
        <w:t>.</w:t>
      </w:r>
    </w:p>
    <w:p w:rsidRPr="0071521F" w:rsidR="00184F54" w:rsidP="00184F54" w:rsidRDefault="00184F54" w14:paraId="47B17835" w14:textId="249584C0">
      <w:pPr>
        <w:pStyle w:val="scnewcodesection"/>
      </w:pPr>
      <w:r>
        <w:rPr>
          <w:color w:val="000000" w:themeColor="text1"/>
          <w:u w:color="000000" w:themeColor="text1"/>
        </w:rPr>
        <w:tab/>
      </w:r>
      <w:bookmarkStart w:name="ss_T59C29N12SB_lv1_b913acbe7" w:id="8"/>
      <w:r w:rsidRPr="0071521F">
        <w:rPr>
          <w:color w:val="000000" w:themeColor="text1"/>
          <w:u w:color="000000" w:themeColor="text1"/>
        </w:rPr>
        <w:t>(</w:t>
      </w:r>
      <w:bookmarkEnd w:id="8"/>
      <w:r w:rsidRPr="0071521F">
        <w:rPr>
          <w:color w:val="000000" w:themeColor="text1"/>
          <w:u w:color="000000" w:themeColor="text1"/>
        </w:rPr>
        <w:t>B)</w:t>
      </w:r>
      <w:r>
        <w:t xml:space="preserve"> </w:t>
      </w:r>
      <w:r w:rsidRPr="0071521F">
        <w:rPr>
          <w:color w:val="000000" w:themeColor="text1"/>
          <w:u w:color="000000" w:themeColor="text1"/>
        </w:rPr>
        <w:t xml:space="preserve">For purposes of this chapter, </w:t>
      </w:r>
      <w:r w:rsidR="00881E65">
        <w:rPr>
          <w:color w:val="000000" w:themeColor="text1"/>
          <w:u w:color="000000" w:themeColor="text1"/>
        </w:rPr>
        <w:t>“</w:t>
      </w:r>
      <w:r w:rsidRPr="0071521F">
        <w:rPr>
          <w:color w:val="000000" w:themeColor="text1"/>
          <w:u w:color="000000" w:themeColor="text1"/>
        </w:rPr>
        <w:t>critical race theory</w:t>
      </w:r>
      <w:r w:rsidR="00881E65">
        <w:rPr>
          <w:color w:val="000000" w:themeColor="text1"/>
          <w:u w:color="000000" w:themeColor="text1"/>
        </w:rPr>
        <w:t>”</w:t>
      </w:r>
      <w:r w:rsidRPr="0071521F">
        <w:rPr>
          <w:color w:val="000000" w:themeColor="text1"/>
          <w:u w:color="000000" w:themeColor="text1"/>
        </w:rPr>
        <w:t xml:space="preserve"> means any of the following tenets:</w:t>
      </w:r>
    </w:p>
    <w:p w:rsidRPr="0071521F" w:rsidR="00184F54" w:rsidP="00184F54" w:rsidRDefault="00184F54" w14:paraId="7E5D553A" w14:textId="77777777">
      <w:pPr>
        <w:pStyle w:val="scnewcodesection"/>
      </w:pPr>
      <w:r>
        <w:rPr>
          <w:color w:val="000000" w:themeColor="text1"/>
          <w:u w:color="000000" w:themeColor="text1"/>
        </w:rPr>
        <w:tab/>
      </w:r>
      <w:r w:rsidRPr="0071521F">
        <w:rPr>
          <w:color w:val="000000" w:themeColor="text1"/>
          <w:u w:color="000000" w:themeColor="text1"/>
        </w:rPr>
        <w:tab/>
      </w:r>
      <w:bookmarkStart w:name="ss_T59C29N12S1_lv2_c5814b566" w:id="9"/>
      <w:r w:rsidRPr="0071521F">
        <w:rPr>
          <w:color w:val="000000" w:themeColor="text1"/>
          <w:u w:color="000000" w:themeColor="text1"/>
        </w:rPr>
        <w:t>(</w:t>
      </w:r>
      <w:bookmarkEnd w:id="9"/>
      <w:r w:rsidRPr="0071521F">
        <w:rPr>
          <w:color w:val="000000" w:themeColor="text1"/>
          <w:u w:color="000000" w:themeColor="text1"/>
        </w:rPr>
        <w:t>1)</w:t>
      </w:r>
      <w:r>
        <w:t xml:space="preserve"> </w:t>
      </w:r>
      <w:r w:rsidRPr="0071521F">
        <w:rPr>
          <w:color w:val="000000" w:themeColor="text1"/>
          <w:u w:color="000000" w:themeColor="text1"/>
        </w:rPr>
        <w:t>any sex, race, ethnicity, religion, color, or national origin is inherently superior or inferior;</w:t>
      </w:r>
    </w:p>
    <w:p w:rsidRPr="0071521F" w:rsidR="00184F54" w:rsidP="00184F54" w:rsidRDefault="00184F54" w14:paraId="5D9B9950" w14:textId="77777777">
      <w:pPr>
        <w:pStyle w:val="scnewcodesection"/>
      </w:pPr>
      <w:r>
        <w:rPr>
          <w:color w:val="000000" w:themeColor="text1"/>
          <w:u w:color="000000" w:themeColor="text1"/>
        </w:rPr>
        <w:tab/>
      </w:r>
      <w:r w:rsidRPr="0071521F">
        <w:rPr>
          <w:color w:val="000000" w:themeColor="text1"/>
          <w:u w:color="000000" w:themeColor="text1"/>
        </w:rPr>
        <w:tab/>
      </w:r>
      <w:bookmarkStart w:name="ss_T59C29N12S2_lv2_4af8a2b27" w:id="10"/>
      <w:r w:rsidRPr="0071521F">
        <w:rPr>
          <w:color w:val="000000" w:themeColor="text1"/>
          <w:u w:color="000000" w:themeColor="text1"/>
        </w:rPr>
        <w:t>(</w:t>
      </w:r>
      <w:bookmarkEnd w:id="10"/>
      <w:r w:rsidRPr="0071521F">
        <w:rPr>
          <w:color w:val="000000" w:themeColor="text1"/>
          <w:u w:color="000000" w:themeColor="text1"/>
        </w:rPr>
        <w:t>2)</w:t>
      </w:r>
      <w:r>
        <w:t xml:space="preserve"> </w:t>
      </w:r>
      <w:r w:rsidRPr="0071521F">
        <w:rPr>
          <w:color w:val="000000" w:themeColor="text1"/>
          <w:u w:color="000000" w:themeColor="text1"/>
        </w:rPr>
        <w:t>individuals should be adversely treated on the basis of their sex, race, ethnicity, religion, color, or national origin; or</w:t>
      </w:r>
    </w:p>
    <w:p w:rsidRPr="0071521F" w:rsidR="00184F54" w:rsidP="00184F54" w:rsidRDefault="00184F54" w14:paraId="35558D05" w14:textId="77777777">
      <w:pPr>
        <w:pStyle w:val="scnewcodesection"/>
      </w:pPr>
      <w:r>
        <w:rPr>
          <w:color w:val="000000" w:themeColor="text1"/>
          <w:u w:color="000000" w:themeColor="text1"/>
        </w:rPr>
        <w:tab/>
      </w:r>
      <w:r>
        <w:rPr>
          <w:color w:val="000000" w:themeColor="text1"/>
          <w:u w:color="000000" w:themeColor="text1"/>
        </w:rPr>
        <w:tab/>
      </w:r>
      <w:bookmarkStart w:name="ss_T59C29N12S3_lv2_7eb11fea7" w:id="11"/>
      <w:r>
        <w:rPr>
          <w:color w:val="000000" w:themeColor="text1"/>
          <w:u w:color="000000" w:themeColor="text1"/>
        </w:rPr>
        <w:t>(</w:t>
      </w:r>
      <w:bookmarkEnd w:id="11"/>
      <w:r>
        <w:rPr>
          <w:color w:val="000000" w:themeColor="text1"/>
          <w:u w:color="000000" w:themeColor="text1"/>
        </w:rPr>
        <w:t>3)</w:t>
      </w:r>
      <w:r>
        <w:t xml:space="preserve"> </w:t>
      </w:r>
      <w:r>
        <w:rPr>
          <w:color w:val="000000" w:themeColor="text1"/>
          <w:u w:color="000000" w:themeColor="text1"/>
        </w:rPr>
        <w:t>i</w:t>
      </w:r>
      <w:r w:rsidRPr="0071521F">
        <w:rPr>
          <w:color w:val="000000" w:themeColor="text1"/>
          <w:u w:color="000000" w:themeColor="text1"/>
        </w:rPr>
        <w:t>ndividuals, by virtue of sex, race, ethnicity, religion, color, or national origin, are inherently responsible for actions committed in the past by other members of the same sex, race, ethnicity, religion, color, or national origin.</w:t>
      </w:r>
    </w:p>
    <w:p w:rsidRPr="0071521F" w:rsidR="00184F54" w:rsidP="00184F54" w:rsidRDefault="00184F54" w14:paraId="2E0FD56E" w14:textId="77777777">
      <w:pPr>
        <w:pStyle w:val="scemptyline"/>
      </w:pPr>
    </w:p>
    <w:p w:rsidRPr="0071521F" w:rsidR="00184F54" w:rsidP="00184F54" w:rsidRDefault="00184F54" w14:paraId="307BA3EB" w14:textId="77777777">
      <w:pPr>
        <w:pStyle w:val="scnoncodifiedsection"/>
        <w:rPr/>
      </w:pPr>
      <w:bookmarkStart w:name="eff_date_section" w:id="13"/>
      <w:bookmarkStart w:name="bs_num_2_lastsection" w:id="14"/>
      <w:bookmarkEnd w:id="13"/>
      <w:r w:rsidRPr="0071521F">
        <w:rPr>
          <w:color w:val="000000" w:themeColor="text1"/>
          <w:u w:color="000000" w:themeColor="text1"/>
        </w:rPr>
        <w:t>S</w:t>
      </w:r>
      <w:bookmarkEnd w:id="14"/>
      <w:r>
        <w:t xml:space="preserve">ECTION </w:t>
      </w:r>
      <w:r w:rsidRPr="0071521F">
        <w:rPr>
          <w:color w:val="000000" w:themeColor="text1"/>
          <w:u w:color="000000" w:themeColor="text1"/>
        </w:rPr>
        <w:t>2.</w:t>
      </w:r>
      <w:r>
        <w:rPr>
          <w:color w:val="000000" w:themeColor="text1"/>
          <w:u w:color="000000" w:themeColor="text1"/>
        </w:rPr>
        <w:tab/>
      </w:r>
      <w:r w:rsidRPr="0071521F">
        <w:rPr>
          <w:color w:val="000000" w:themeColor="text1"/>
          <w:u w:color="000000" w:themeColor="text1"/>
        </w:rPr>
        <w:t>This ac</w:t>
      </w:r>
      <w:r>
        <w:rPr>
          <w:color w:val="000000" w:themeColor="text1"/>
          <w:u w:color="000000" w:themeColor="text1"/>
        </w:rPr>
        <w:t xml:space="preserve">t takes effect upon approval by </w:t>
      </w:r>
      <w:r w:rsidRPr="0071521F">
        <w:rPr>
          <w:color w:val="000000" w:themeColor="text1"/>
          <w:u w:color="000000" w:themeColor="text1"/>
        </w:rPr>
        <w:t xml:space="preserve">the Governor. </w:t>
      </w:r>
    </w:p>
    <w:p w:rsidR="00184F54" w:rsidP="00184F54" w:rsidRDefault="00184F54" w14:paraId="124C48BD" w14:textId="77777777">
      <w:pPr>
        <w:pStyle w:val="scnoncodifiedsection"/>
      </w:pPr>
    </w:p>
    <w:p w:rsidRPr="00DF3B44" w:rsidR="005516F6" w:rsidP="009E4191" w:rsidRDefault="00184F54" w14:paraId="7389F665" w14:textId="47DA805D">
      <w:pPr>
        <w:pStyle w:val="scbillendxx"/>
      </w:pPr>
      <w:r>
        <w:noBreakHyphen/>
      </w:r>
      <w:r>
        <w:noBreakHyphen/>
      </w:r>
      <w:r>
        <w:noBreakHyphen/>
      </w:r>
      <w:r>
        <w:noBreakHyphen/>
        <w:t>XX</w:t>
      </w:r>
      <w:r>
        <w:noBreakHyphen/>
      </w:r>
      <w:r>
        <w:noBreakHyphen/>
      </w:r>
      <w:r>
        <w:noBreakHyphen/>
      </w:r>
      <w:r>
        <w:noBreakHyphen/>
      </w:r>
    </w:p>
    <w:sectPr w:rsidRPr="00DF3B44" w:rsidR="005516F6" w:rsidSect="00FB46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CC888F" w:rsidR="00685035" w:rsidRPr="007B4AF7" w:rsidRDefault="00FB46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84F54">
              <w:rPr>
                <w:noProof/>
              </w:rPr>
              <w:t>LC-0131WAB23.docx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4F54"/>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208"/>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515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5CA8"/>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1E65"/>
    <w:rsid w:val="008A57E3"/>
    <w:rsid w:val="008B5BF4"/>
    <w:rsid w:val="008C0CEE"/>
    <w:rsid w:val="008C1B18"/>
    <w:rsid w:val="008D1B17"/>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71C6"/>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AF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464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4&amp;session=125&amp;summary=B" TargetMode="External" Id="R56020e71294340bf" /><Relationship Type="http://schemas.openxmlformats.org/officeDocument/2006/relationships/hyperlink" Target="https://www.scstatehouse.gov/sess125_2023-2024/prever/3464_20221208.docx" TargetMode="External" Id="R67421f7b6adf492e" /><Relationship Type="http://schemas.openxmlformats.org/officeDocument/2006/relationships/hyperlink" Target="h:\hj\20230110.docx" TargetMode="External" Id="R45450da455ff4537" /><Relationship Type="http://schemas.openxmlformats.org/officeDocument/2006/relationships/hyperlink" Target="h:\hj\20230110.docx" TargetMode="External" Id="Rbb968aeee0fb4a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c2ae95d1-be94-4362-9f81-5b24dee7f5c9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fa8e5256-8656-4c27-94f8-d035673a8185</T_BILL_REQUEST_REQUEST>
  <T_BILL_R_ORIGINALDRAFT>ff0c9b80-961d-48d4-a9ef-799e074c113a</T_BILL_R_ORIGINALDRAFT>
  <T_BILL_SPONSOR_SPONSOR>616e99aa-70a1-4c76-b840-78ae6c7e77c3</T_BILL_SPONSOR_SPONSOR>
  <T_BILL_T_ACTNUMBER>None</T_BILL_T_ACTNUMBER>
  <T_BILL_T_BILLNAME>[3464]</T_BILL_T_BILLNAME>
  <T_BILL_T_BILLNUMBER>3464</T_BILL_T_BILLNUMBER>
  <T_BILL_T_BILLTITLE>to amend the South Carolina Code of Laws by adding Section 59‑29‑12 so as to PROVIDE PUBLIC SCHOOL DISTRICTS, PUBLIC SCHOOLS, AND PUBLIC INSTITUTIONS OF HIGHER LEARNING MAY NOT DIRECT OR OTHERWISE COMPEL STUDENTS TO PERSONALLY AFFIRM, ADOPT, OR ADHERE TO THE TENETS OF “CRITICAL RACE THEORY” OR PROVIDE RELATED INSTRUCTION, AND TO DEFINE NECESSARY TERMINOLOGY.</T_BILL_T_BILLTITLE>
  <T_BILL_T_CHAMBER>house</T_BILL_T_CHAMBER>
  <T_BILL_T_FILENAME> </T_BILL_T_FILENAME>
  <T_BILL_T_LEGTYPE>bill_statewide</T_BILL_T_LEGTYPE>
  <T_BILL_T_RATNUMBER>None</T_BILL_T_RATNUMBER>
  <T_BILL_T_SECTIONS>[{"SectionUUID":"d91f6301-de48-4ec5-9eb1-c172dfb61852","SectionName":"code_section","SectionNumber":1,"SectionType":"code_section","CodeSections":[{"CodeSectionBookmarkName":"ns_T59C29N12_9eb264f61","IsConstitutionSection":false,"Identity":"59-29-12","IsNew":true,"SubSections":[{"Level":1,"Identity":"T59C29N12SA","SubSectionBookmarkName":"ss_T59C29N12SA_lv1_e72a77394","IsNewSubSection":false},{"Level":2,"Identity":"T59C29N12S1","SubSectionBookmarkName":"ss_T59C29N12S1_lv2_6f20dfad8","IsNewSubSection":false},{"Level":2,"Identity":"T59C29N12S2","SubSectionBookmarkName":"ss_T59C29N12S2_lv2_197dc8984","IsNewSubSection":false},{"Level":1,"Identity":"T59C29N12SB","SubSectionBookmarkName":"ss_T59C29N12SB_lv1_b913acbe7","IsNewSubSection":false},{"Level":2,"Identity":"T59C29N12S1","SubSectionBookmarkName":"ss_T59C29N12S1_lv2_c5814b566","IsNewSubSection":false},{"Level":2,"Identity":"T59C29N12S2","SubSectionBookmarkName":"ss_T59C29N12S2_lv2_4af8a2b27","IsNewSubSection":false},{"Level":2,"Identity":"T59C29N12S3","SubSectionBookmarkName":"ss_T59C29N12S3_lv2_7eb11fea7","IsNewSubSection":false}],"TitleRelatedTo":"","TitleSoAsTo":"PROVIDE PUBLIC SCHOOL DISTRICTS, PUBLIC SCHOOLS, AND PUBLIC INSTITUTIONS OF HIGHER LEARNING MAY NOT DIRECT OR OTHERWISE COMPEL STUDENTS TO PERSONALLY AFFIRM, ADOPT, OR ADHERE TO THE TENETS OF “CRITICAL RACE THEORY” OR PROVIDE RELATED INSTRUCTION, AND TO DEFINE NECESSARY TERMINOLOGY. ","Deleted":false}],"TitleText":"","DisableControls":false,"Deleted":false,"RepealItems":[],"SectionBookmarkName":"bs_num_1_11cdeafb1"},{"SectionUUID":"f2546b03-0c76-4566-944c-e7c948143833","SectionName":"standard_eff_date_section","SectionNumber":2,"SectionType":"drafting_clause","CodeSections":[],"TitleText":"","DisableControls":false,"Deleted":false,"RepealItems":[],"SectionBookmarkName":"bs_num_2_lastsection"}]</T_BILL_T_SECTIONS>
  <T_BILL_T_SECTIONSHISTORY>[{"Id":1,"SectionsList":[{"SectionUUID":"d91f6301-de48-4ec5-9eb1-c172dfb61852","SectionName":"code_section","SectionNumber":1,"SectionType":"code_section","CodeSections":[{"CodeSectionBookmarkName":"ns_T59C29N12_9eb264f61","IsConstitutionSection":false,"Identity":"59-29-12","IsNew":true,"SubSections":[],"TitleRelatedTo":"","TitleSoAsTo":"PROVIDE PUBLIC SCHOOL DISTRICTS, PUBLIC SCHOOLS, AND PUBLIC INSTITUTIONS OF HIGHER LEARNING MAY NOT DIRECT OR OTHERWISE COMPEL STUDENTS TO PERSONALLY AFFIRM, ADOPT, OR ADHERE TO THE TENETS OF “CRITICAL RACE THEORY” OR PROVIDE RELATED INSTRUCTION, AND TO DEFINE NECESSARY TERMINOLOGY. ","Deleted":false}],"TitleText":"","DisableControls":false,"Deleted":false,"RepealItems":[],"SectionBookmarkName":"bs_num_1_11cdeafb1"},{"SectionUUID":"f2546b03-0c76-4566-944c-e7c948143833","SectionName":"standard_eff_date_section","SectionNumber":2,"SectionType":"drafting_clause","CodeSections":[],"TitleText":"","DisableControls":false,"Deleted":false,"RepealItems":[],"SectionBookmarkName":"bs_num_2_lastsection"}],"Timestamp":"2022-12-06T16:41:58.0327346-05:00","Username":null},{"Id":2,"SectionsList":[{"SectionUUID":"d91f6301-de48-4ec5-9eb1-c172dfb61852","SectionName":"code_section","SectionNumber":1,"SectionType":"code_section","CodeSections":[{"CodeSectionBookmarkName":"ns_T59C29N12_9eb264f61","IsConstitutionSection":false,"Identity":"59-29-12","IsNew":true,"SubSections":[{"Level":1,"Identity":"T59C29N12SA","SubSectionBookmarkName":"ss_T59C29N12SA_lv1_e72a77394","IsNewSubSection":false},{"Level":2,"Identity":"T59C29N12S1","SubSectionBookmarkName":"ss_T59C29N12S1_lv2_6f20dfad8","IsNewSubSection":false},{"Level":2,"Identity":"T59C29N12S2","SubSectionBookmarkName":"ss_T59C29N12S2_lv2_197dc8984","IsNewSubSection":false},{"Level":1,"Identity":"T59C29N12SB","SubSectionBookmarkName":"ss_T59C29N12SB_lv1_b913acbe7","IsNewSubSection":false},{"Level":2,"Identity":"T59C29N12S1","SubSectionBookmarkName":"ss_T59C29N12S1_lv2_c5814b566","IsNewSubSection":false},{"Level":2,"Identity":"T59C29N12S2","SubSectionBookmarkName":"ss_T59C29N12S2_lv2_4af8a2b27","IsNewSubSection":false},{"Level":2,"Identity":"T59C29N12S3","SubSectionBookmarkName":"ss_T59C29N12S3_lv2_7eb11fea7","IsNewSubSection":false}],"TitleRelatedTo":"","TitleSoAsTo":"PROVIDE PUBLIC SCHOOL DISTRICTS, PUBLIC SCHOOLS, AND PUBLIC INSTITUTIONS OF HIGHER LEARNING MAY NOT DIRECT OR OTHERWISE COMPEL STUDENTS TO PERSONALLY AFFIRM, ADOPT, OR ADHERE TO THE TENETS OF “CRITICAL RACE THEORY” OR PROVIDE RELATED INSTRUCTION, AND TO DEFINE NECESSARY TERMINOLOGY. ","Deleted":false}],"TitleText":"","DisableControls":false,"Deleted":false,"RepealItems":[],"SectionBookmarkName":"bs_num_1_11cdeafb1"},{"SectionUUID":"f2546b03-0c76-4566-944c-e7c948143833","SectionName":"standard_eff_date_section","SectionNumber":2,"SectionType":"drafting_clause","CodeSections":[],"TitleText":"","DisableControls":false,"Deleted":false,"RepealItems":[],"SectionBookmarkName":"bs_num_2_lastsection"}],"Timestamp":"2022-12-07T10:52:23.5155229-05:00","Username":"annarushton@scstatehouse.gov"}]</T_BILL_T_SECTIONSHISTORY>
  <T_BILL_T_SUBJECT>Critical race theory instruction prohibition</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246</Words>
  <Characters>1350</Characters>
  <Application>Microsoft Office Word</Application>
  <DocSecurity>0</DocSecurity>
  <Lines>33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24</cp:revision>
  <dcterms:created xsi:type="dcterms:W3CDTF">2022-06-03T11:45:00Z</dcterms:created>
  <dcterms:modified xsi:type="dcterms:W3CDTF">2022-12-07T15:52:00Z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