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Companion/Similar bill(s): 3127, 3423</w:t>
      </w:r>
    </w:p>
    <w:p>
      <w:pPr>
        <w:widowControl w:val="false"/>
        <w:spacing w:after="0"/>
        <w:jc w:val="left"/>
      </w:pPr>
      <w:r>
        <w:rPr>
          <w:rFonts w:ascii="Times New Roman"/>
          <w:sz w:val="22"/>
        </w:rPr>
        <w:t xml:space="preserve">Document Path: LC-0209SA23.docx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ff4590987e274671">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b5044c7e7895417e">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39353bef584f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761f75d46f48c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75B2B" w14:paraId="40FEFADA" w14:textId="57EF5D55">
          <w:pPr>
            <w:pStyle w:val="scbilltitle"/>
            <w:tabs>
              <w:tab w:val="left" w:pos="2104"/>
            </w:tabs>
          </w:pPr>
          <w:r>
            <w:t>TO AMEND</w:t>
          </w:r>
          <w:r w:rsidR="007F5A37">
            <w:t xml:space="preserve"> the south carolina code of laws by amending</w:t>
          </w:r>
          <w:r>
            <w:t xml:space="preserve">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w:t>
          </w:r>
          <w:r w:rsidR="00574E42">
            <w:t xml:space="preserve">by repealing </w:t>
          </w:r>
          <w:r>
            <w:t>SECTION 12‑37‑245 RELATING TO AN OBSOLETE REFERENCE TO THE HOMESTEAD EXEMPTION.</w:t>
          </w:r>
        </w:p>
      </w:sdtContent>
    </w:sdt>
    <w:bookmarkStart w:name="at_0ea58ded8" w:displacedByCustomXml="prev" w:id="0"/>
    <w:bookmarkEnd w:id="0"/>
    <w:p w:rsidRPr="00DF3B44" w:rsidR="006C18F0" w:rsidP="006C18F0" w:rsidRDefault="006C18F0" w14:paraId="5BAAC1B7" w14:textId="77777777">
      <w:pPr>
        <w:pStyle w:val="scbillwhereasclause"/>
      </w:pPr>
    </w:p>
    <w:p w:rsidR="00675B2B" w:rsidP="00675B2B" w:rsidRDefault="00675B2B" w14:paraId="558813C3" w14:textId="77777777">
      <w:pPr>
        <w:pStyle w:val="scenactingwords"/>
      </w:pPr>
      <w:bookmarkStart w:name="ew_11ec7cb0a" w:id="1"/>
      <w:r>
        <w:t>B</w:t>
      </w:r>
      <w:bookmarkEnd w:id="1"/>
      <w:r>
        <w:t>e it enacted by the General Assembly of the State of South Carolina:</w:t>
      </w:r>
    </w:p>
    <w:p w:rsidR="00675B2B" w:rsidP="00675B2B" w:rsidRDefault="00675B2B" w14:paraId="606AFCD4" w14:textId="77777777">
      <w:pPr>
        <w:pStyle w:val="scemptyline"/>
      </w:pPr>
    </w:p>
    <w:p w:rsidRPr="00E5284B" w:rsidR="00675B2B" w:rsidP="00675B2B" w:rsidRDefault="00675B2B" w14:paraId="03722B75" w14:textId="1453A31C">
      <w:pPr>
        <w:pStyle w:val="scdirectionallanguage"/>
      </w:pPr>
      <w:bookmarkStart w:name="bs_num_1_5d85d4062" w:id="2"/>
      <w:r>
        <w:t>S</w:t>
      </w:r>
      <w:bookmarkEnd w:id="2"/>
      <w:r>
        <w:t>ECTION 1.</w:t>
      </w:r>
      <w:r>
        <w:tab/>
      </w:r>
      <w:bookmarkStart w:name="dl_11dd677f4" w:id="3"/>
      <w:r w:rsidRPr="00E5284B">
        <w:rPr>
          <w:color w:val="000000" w:themeColor="text1"/>
          <w:u w:color="000000" w:themeColor="text1"/>
        </w:rPr>
        <w:t>S</w:t>
      </w:r>
      <w:bookmarkEnd w:id="3"/>
      <w:r>
        <w:t>ection 12</w:t>
      </w:r>
      <w:r>
        <w:rPr>
          <w:color w:val="000000" w:themeColor="text1"/>
          <w:u w:color="000000" w:themeColor="text1"/>
        </w:rPr>
        <w:noBreakHyphen/>
      </w:r>
      <w:r w:rsidRPr="00E5284B">
        <w:rPr>
          <w:color w:val="000000" w:themeColor="text1"/>
          <w:u w:color="000000" w:themeColor="text1"/>
        </w:rPr>
        <w:t>37</w:t>
      </w:r>
      <w:r>
        <w:rPr>
          <w:color w:val="000000" w:themeColor="text1"/>
          <w:u w:color="000000" w:themeColor="text1"/>
        </w:rPr>
        <w:noBreakHyphen/>
      </w:r>
      <w:r w:rsidRPr="00E5284B">
        <w:rPr>
          <w:color w:val="000000" w:themeColor="text1"/>
          <w:u w:color="000000" w:themeColor="text1"/>
        </w:rPr>
        <w:t xml:space="preserve">250(A)(1) of the </w:t>
      </w:r>
      <w:r w:rsidR="007F5A37">
        <w:rPr>
          <w:color w:val="000000" w:themeColor="text1"/>
          <w:u w:color="000000" w:themeColor="text1"/>
        </w:rPr>
        <w:t>S.C.</w:t>
      </w:r>
      <w:r w:rsidRPr="00E5284B">
        <w:rPr>
          <w:color w:val="000000" w:themeColor="text1"/>
          <w:u w:color="000000" w:themeColor="text1"/>
        </w:rPr>
        <w:t xml:space="preserve"> Code</w:t>
      </w:r>
      <w:r>
        <w:rPr>
          <w:color w:val="000000" w:themeColor="text1"/>
          <w:u w:color="000000" w:themeColor="text1"/>
        </w:rPr>
        <w:t xml:space="preserve"> </w:t>
      </w:r>
      <w:r w:rsidRPr="00E5284B">
        <w:rPr>
          <w:color w:val="000000" w:themeColor="text1"/>
          <w:u w:color="000000" w:themeColor="text1"/>
        </w:rPr>
        <w:t>is amended to read:</w:t>
      </w:r>
    </w:p>
    <w:p w:rsidRPr="00E5284B" w:rsidR="00675B2B" w:rsidP="00675B2B" w:rsidRDefault="00675B2B" w14:paraId="4DF9E432" w14:textId="77777777">
      <w:pPr>
        <w:pStyle w:val="scemptyline"/>
      </w:pPr>
    </w:p>
    <w:p w:rsidRPr="00E5284B" w:rsidR="00675B2B" w:rsidP="00675B2B" w:rsidRDefault="00675B2B" w14:paraId="06B430F4" w14:textId="77777777">
      <w:pPr>
        <w:pStyle w:val="sccodifiedsection"/>
      </w:pPr>
      <w:bookmarkStart w:name="cs_T12C37N250_8b26b74cc" w:id="4"/>
      <w:r>
        <w:rPr>
          <w:color w:val="000000" w:themeColor="text1"/>
          <w:u w:color="000000" w:themeColor="text1"/>
        </w:rPr>
        <w:tab/>
      </w:r>
      <w:bookmarkEnd w:id="4"/>
      <w:r w:rsidRPr="00E5284B">
        <w:rPr>
          <w:color w:val="000000" w:themeColor="text1"/>
          <w:u w:color="000000" w:themeColor="text1"/>
        </w:rPr>
        <w:tab/>
      </w:r>
      <w:bookmarkStart w:name="ss_T12C37N250S1_lv1_75f750aa0" w:id="5"/>
      <w:r w:rsidRPr="00E5284B">
        <w:rPr>
          <w:color w:val="000000" w:themeColor="text1"/>
          <w:u w:color="000000" w:themeColor="text1"/>
        </w:rPr>
        <w:t>(</w:t>
      </w:r>
      <w:bookmarkEnd w:id="5"/>
      <w:r w:rsidRPr="00E5284B">
        <w:rPr>
          <w:color w:val="000000" w:themeColor="text1"/>
          <w:u w:color="000000" w:themeColor="text1"/>
        </w:rPr>
        <w:t>1)</w:t>
      </w:r>
      <w:r w:rsidRPr="00E5284B">
        <w:t xml:space="preserve"> </w:t>
      </w:r>
      <w:r w:rsidRPr="00E5284B">
        <w:rPr>
          <w:color w:val="000000" w:themeColor="text1"/>
          <w:u w:color="000000" w:themeColor="text1"/>
        </w:rPr>
        <w:t xml:space="preserve">The first </w:t>
      </w:r>
      <w:r>
        <w:rPr>
          <w:rStyle w:val="scstrike"/>
        </w:rPr>
        <w:t>fifty</w:t>
      </w:r>
      <w:r w:rsidRPr="00E5284B">
        <w:rPr>
          <w:color w:val="000000" w:themeColor="text1"/>
          <w:u w:color="000000" w:themeColor="text1"/>
        </w:rPr>
        <w:t xml:space="preserve"> </w:t>
      </w:r>
      <w:r>
        <w:rPr>
          <w:rStyle w:val="scinsert"/>
        </w:rPr>
        <w:t>seventy</w:t>
      </w:r>
      <w:r>
        <w:rPr>
          <w:rStyle w:val="scinsert"/>
        </w:rPr>
        <w:noBreakHyphen/>
        <w:t>five</w:t>
      </w:r>
      <w:r>
        <w:rPr>
          <w:color w:val="000000" w:themeColor="text1"/>
          <w:u w:color="000000" w:themeColor="text1"/>
        </w:rPr>
        <w:t xml:space="preserve"> </w:t>
      </w:r>
      <w:r w:rsidRPr="00E5284B">
        <w:rPr>
          <w:color w:val="000000" w:themeColor="text1"/>
          <w:u w:color="000000" w:themeColor="text1"/>
        </w:rPr>
        <w:t>thousand</w:t>
      </w:r>
      <w:r>
        <w:rPr>
          <w:color w:val="000000" w:themeColor="text1"/>
          <w:u w:color="000000" w:themeColor="text1"/>
        </w:rPr>
        <w:t xml:space="preserve"> </w:t>
      </w:r>
      <w:r w:rsidRPr="00E5284B">
        <w:rPr>
          <w:color w:val="000000" w:themeColor="text1"/>
          <w:u w:color="000000" w:themeColor="text1"/>
        </w:rPr>
        <w:t xml:space="preserve">dollars of the fair market value of the dwelling place of a person is exempt from county, municipal, school, and special assessment real estate property taxes when the person: </w:t>
      </w:r>
    </w:p>
    <w:p w:rsidRPr="00E5284B" w:rsidR="00675B2B" w:rsidP="00675B2B" w:rsidRDefault="00675B2B" w14:paraId="49C6AB80"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_lv2_f782bbfa0" w:id="8"/>
      <w:r w:rsidRPr="00E5284B">
        <w:rPr>
          <w:color w:val="000000" w:themeColor="text1"/>
          <w:u w:color="000000" w:themeColor="text1"/>
        </w:rPr>
        <w:t>(</w:t>
      </w:r>
      <w:bookmarkEnd w:id="8"/>
      <w:r w:rsidRPr="00E5284B">
        <w:rPr>
          <w:color w:val="000000" w:themeColor="text1"/>
          <w:u w:color="000000" w:themeColor="text1"/>
        </w:rPr>
        <w:t>i)</w:t>
      </w:r>
      <w:r w:rsidRPr="00E5284B">
        <w:t xml:space="preserve"> </w:t>
      </w:r>
      <w:r w:rsidRPr="00E5284B">
        <w:rPr>
          <w:color w:val="000000" w:themeColor="text1"/>
          <w:u w:color="000000" w:themeColor="text1"/>
        </w:rPr>
        <w:t>has been a resident of this State for at least one year and has reached the age of sixty</w:t>
      </w:r>
      <w:r>
        <w:rPr>
          <w:color w:val="000000" w:themeColor="text1"/>
          <w:u w:color="000000" w:themeColor="text1"/>
        </w:rPr>
        <w:noBreakHyphen/>
      </w:r>
      <w:r w:rsidRPr="00E5284B">
        <w:rPr>
          <w:color w:val="000000" w:themeColor="text1"/>
          <w:u w:color="000000" w:themeColor="text1"/>
        </w:rPr>
        <w:t>five years on or before December thirty</w:t>
      </w:r>
      <w:r>
        <w:rPr>
          <w:color w:val="000000" w:themeColor="text1"/>
          <w:u w:color="000000" w:themeColor="text1"/>
        </w:rPr>
        <w:noBreakHyphen/>
      </w:r>
      <w:proofErr w:type="gramStart"/>
      <w:r w:rsidRPr="00E5284B">
        <w:rPr>
          <w:color w:val="000000" w:themeColor="text1"/>
          <w:u w:color="000000" w:themeColor="text1"/>
        </w:rPr>
        <w:t>first;</w:t>
      </w:r>
      <w:proofErr w:type="gramEnd"/>
      <w:r w:rsidRPr="00E5284B">
        <w:rPr>
          <w:color w:val="000000" w:themeColor="text1"/>
          <w:u w:color="000000" w:themeColor="text1"/>
        </w:rPr>
        <w:t xml:space="preserve"> </w:t>
      </w:r>
    </w:p>
    <w:p w:rsidRPr="00E5284B" w:rsidR="00675B2B" w:rsidP="00675B2B" w:rsidRDefault="00675B2B" w14:paraId="65AE2371"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i_lv2_f61563add" w:id="9"/>
      <w:r w:rsidRPr="00E5284B">
        <w:rPr>
          <w:color w:val="000000" w:themeColor="text1"/>
          <w:u w:color="000000" w:themeColor="text1"/>
        </w:rPr>
        <w:t>(</w:t>
      </w:r>
      <w:bookmarkEnd w:id="9"/>
      <w:r w:rsidRPr="00E5284B">
        <w:rPr>
          <w:color w:val="000000" w:themeColor="text1"/>
          <w:u w:color="000000" w:themeColor="text1"/>
        </w:rPr>
        <w:t>ii)</w:t>
      </w:r>
      <w:r w:rsidRPr="00E5284B">
        <w:t xml:space="preserve"> </w:t>
      </w:r>
      <w:r w:rsidRPr="00E5284B">
        <w:rPr>
          <w:color w:val="000000" w:themeColor="text1"/>
          <w:u w:color="000000" w:themeColor="text1"/>
        </w:rPr>
        <w:t>has been classified as totally and permanently disabled by a state or federal agency having the fu</w:t>
      </w:r>
      <w:r>
        <w:rPr>
          <w:color w:val="000000" w:themeColor="text1"/>
          <w:u w:color="000000" w:themeColor="text1"/>
        </w:rPr>
        <w:t xml:space="preserve">nction of classifying persons; </w:t>
      </w:r>
      <w:r w:rsidRPr="00E5284B">
        <w:rPr>
          <w:color w:val="000000" w:themeColor="text1"/>
          <w:u w:color="000000" w:themeColor="text1"/>
        </w:rPr>
        <w:t xml:space="preserve">or </w:t>
      </w:r>
    </w:p>
    <w:p w:rsidRPr="00E5284B" w:rsidR="00675B2B" w:rsidP="00675B2B" w:rsidRDefault="00675B2B" w14:paraId="64928D00"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ii_lv2_73846bffa" w:id="10"/>
      <w:r w:rsidRPr="00E5284B">
        <w:rPr>
          <w:color w:val="000000" w:themeColor="text1"/>
          <w:u w:color="000000" w:themeColor="text1"/>
        </w:rPr>
        <w:t>(</w:t>
      </w:r>
      <w:bookmarkEnd w:id="10"/>
      <w:r w:rsidRPr="00E5284B">
        <w:rPr>
          <w:color w:val="000000" w:themeColor="text1"/>
          <w:u w:color="000000" w:themeColor="text1"/>
        </w:rPr>
        <w:t>iii)</w:t>
      </w:r>
      <w:r w:rsidRPr="00E5284B">
        <w:t xml:space="preserve"> </w:t>
      </w:r>
      <w:r w:rsidRPr="00E5284B">
        <w:rPr>
          <w:color w:val="000000" w:themeColor="text1"/>
          <w:u w:color="000000" w:themeColor="text1"/>
        </w:rPr>
        <w:t>is legally blind as defined in Section 43</w:t>
      </w:r>
      <w:r>
        <w:rPr>
          <w:color w:val="000000" w:themeColor="text1"/>
          <w:u w:color="000000" w:themeColor="text1"/>
        </w:rPr>
        <w:noBreakHyphen/>
      </w:r>
      <w:r w:rsidRPr="00E5284B">
        <w:rPr>
          <w:color w:val="000000" w:themeColor="text1"/>
          <w:u w:color="000000" w:themeColor="text1"/>
        </w:rPr>
        <w:t>25</w:t>
      </w:r>
      <w:r>
        <w:rPr>
          <w:color w:val="000000" w:themeColor="text1"/>
          <w:u w:color="000000" w:themeColor="text1"/>
        </w:rPr>
        <w:noBreakHyphen/>
      </w:r>
      <w:r w:rsidRPr="00E5284B">
        <w:rPr>
          <w:color w:val="000000" w:themeColor="text1"/>
          <w:u w:color="000000" w:themeColor="text1"/>
        </w:rPr>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Pr="00E5284B" w:rsidR="00675B2B" w:rsidP="00675B2B" w:rsidRDefault="00675B2B" w14:paraId="653828DE" w14:textId="77777777">
      <w:pPr>
        <w:pStyle w:val="scemptyline"/>
      </w:pPr>
    </w:p>
    <w:p w:rsidRPr="00E5284B" w:rsidR="00675B2B" w:rsidP="00675B2B" w:rsidRDefault="00675B2B" w14:paraId="3684ADC2" w14:textId="5FD6C28B">
      <w:pPr>
        <w:pStyle w:val="scnoncodifiedsection"/>
      </w:pPr>
      <w:bookmarkStart w:name="bs_num_2_bccad9ef9" w:id="11"/>
      <w:r w:rsidRPr="00E5284B">
        <w:rPr>
          <w:color w:val="000000" w:themeColor="text1"/>
          <w:u w:color="000000" w:themeColor="text1"/>
        </w:rPr>
        <w:t>S</w:t>
      </w:r>
      <w:bookmarkEnd w:id="11"/>
      <w:r>
        <w:t xml:space="preserve">ECTION </w:t>
      </w:r>
      <w:r w:rsidRPr="00E5284B">
        <w:rPr>
          <w:color w:val="000000" w:themeColor="text1"/>
          <w:u w:color="000000" w:themeColor="text1"/>
        </w:rPr>
        <w:t>2.</w:t>
      </w:r>
      <w:r>
        <w:rPr>
          <w:color w:val="000000" w:themeColor="text1"/>
          <w:u w:color="000000" w:themeColor="text1"/>
        </w:rPr>
        <w:tab/>
      </w:r>
      <w:r w:rsidRPr="00E5284B">
        <w:rPr>
          <w:color w:val="000000" w:themeColor="text1"/>
          <w:u w:color="000000" w:themeColor="text1"/>
        </w:rPr>
        <w:t>Section 12</w:t>
      </w:r>
      <w:r>
        <w:rPr>
          <w:color w:val="000000" w:themeColor="text1"/>
          <w:u w:color="000000" w:themeColor="text1"/>
        </w:rPr>
        <w:noBreakHyphen/>
      </w:r>
      <w:r w:rsidRPr="00E5284B">
        <w:rPr>
          <w:color w:val="000000" w:themeColor="text1"/>
          <w:u w:color="000000" w:themeColor="text1"/>
        </w:rPr>
        <w:t>37</w:t>
      </w:r>
      <w:r>
        <w:rPr>
          <w:color w:val="000000" w:themeColor="text1"/>
          <w:u w:color="000000" w:themeColor="text1"/>
        </w:rPr>
        <w:noBreakHyphen/>
      </w:r>
      <w:r w:rsidRPr="00E5284B">
        <w:rPr>
          <w:color w:val="000000" w:themeColor="text1"/>
          <w:u w:color="000000" w:themeColor="text1"/>
        </w:rPr>
        <w:t xml:space="preserve">245 of the </w:t>
      </w:r>
      <w:r w:rsidR="003B14CE">
        <w:rPr>
          <w:color w:val="000000" w:themeColor="text1"/>
          <w:u w:color="000000" w:themeColor="text1"/>
        </w:rPr>
        <w:t>S.C.</w:t>
      </w:r>
      <w:r w:rsidRPr="00E5284B">
        <w:rPr>
          <w:color w:val="000000" w:themeColor="text1"/>
          <w:u w:color="000000" w:themeColor="text1"/>
        </w:rPr>
        <w:t xml:space="preserve"> Code is repealed.</w:t>
      </w:r>
    </w:p>
    <w:p w:rsidRPr="00E5284B" w:rsidR="00675B2B" w:rsidP="00675B2B" w:rsidRDefault="00675B2B" w14:paraId="1B0AAE8A" w14:textId="77777777">
      <w:pPr>
        <w:pStyle w:val="scemptyline"/>
      </w:pPr>
    </w:p>
    <w:p w:rsidR="00675B2B" w:rsidP="00675B2B" w:rsidRDefault="00675B2B" w14:paraId="03D6AD6B" w14:textId="1EA914E8">
      <w:pPr>
        <w:pStyle w:val="scnoncodifiedsection"/>
      </w:pPr>
      <w:bookmarkStart w:name="eff_date_section" w:id="12"/>
      <w:bookmarkStart w:name="bs_num_3_lastsection" w:id="13"/>
      <w:bookmarkEnd w:id="12"/>
      <w:r w:rsidRPr="00E5284B">
        <w:rPr>
          <w:color w:val="000000" w:themeColor="text1"/>
          <w:u w:color="000000" w:themeColor="text1"/>
        </w:rPr>
        <w:t>S</w:t>
      </w:r>
      <w:bookmarkEnd w:id="13"/>
      <w:r>
        <w:t xml:space="preserve">ECTION </w:t>
      </w:r>
      <w:r w:rsidRPr="00E5284B">
        <w:rPr>
          <w:color w:val="000000" w:themeColor="text1"/>
          <w:u w:color="000000" w:themeColor="text1"/>
        </w:rPr>
        <w:t>3.</w:t>
      </w:r>
      <w:r w:rsidRPr="00E5284B">
        <w:rPr>
          <w:color w:val="000000" w:themeColor="text1"/>
          <w:u w:color="000000" w:themeColor="text1"/>
        </w:rPr>
        <w:tab/>
        <w:t>This act takes effect upon approval by the Governor and applies for propert</w:t>
      </w:r>
      <w:r>
        <w:rPr>
          <w:color w:val="000000" w:themeColor="text1"/>
          <w:u w:color="000000" w:themeColor="text1"/>
        </w:rPr>
        <w:t>y tax years beginning after 202</w:t>
      </w:r>
      <w:r w:rsidR="007F5A37">
        <w:rPr>
          <w:color w:val="000000" w:themeColor="text1"/>
          <w:u w:color="000000" w:themeColor="text1"/>
        </w:rPr>
        <w:t>2</w:t>
      </w:r>
      <w:r w:rsidRPr="00E5284B">
        <w:rPr>
          <w:color w:val="000000" w:themeColor="text1"/>
          <w:u w:color="000000" w:themeColor="text1"/>
        </w:rPr>
        <w:t>.</w:t>
      </w:r>
    </w:p>
    <w:p w:rsidRPr="00DF3B44" w:rsidR="005516F6" w:rsidP="009E4191" w:rsidRDefault="00675B2B" w14:paraId="7389F665" w14:textId="6399036D">
      <w:pPr>
        <w:pStyle w:val="scbillendxx"/>
      </w:pPr>
      <w:r>
        <w:noBreakHyphen/>
      </w:r>
      <w:r>
        <w:noBreakHyphen/>
      </w:r>
      <w:r>
        <w:noBreakHyphen/>
      </w:r>
      <w:r>
        <w:noBreakHyphen/>
        <w:t>XX</w:t>
      </w:r>
      <w:r>
        <w:noBreakHyphen/>
      </w:r>
      <w:r>
        <w:noBreakHyphen/>
      </w:r>
      <w:r>
        <w:noBreakHyphen/>
      </w:r>
      <w:r>
        <w:noBreakHyphen/>
      </w:r>
    </w:p>
    <w:sectPr w:rsidRPr="00DF3B44" w:rsidR="005516F6" w:rsidSect="009E56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7AE2A9" w:rsidR="00685035" w:rsidRPr="007B4AF7" w:rsidRDefault="009E56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5B2B">
              <w:rPr>
                <w:noProof/>
              </w:rPr>
              <w:t>LC-0209SA23.docx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14C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E4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B2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A37"/>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66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2F2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DF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7&amp;session=125&amp;summary=B" TargetMode="External" Id="R5639353bef584f98" /><Relationship Type="http://schemas.openxmlformats.org/officeDocument/2006/relationships/hyperlink" Target="https://www.scstatehouse.gov/sess125_2023-2024/prever/3927_20230209.docx" TargetMode="External" Id="R1e761f75d46f48ca" /><Relationship Type="http://schemas.openxmlformats.org/officeDocument/2006/relationships/hyperlink" Target="h:\hj\20230209.docx" TargetMode="External" Id="Rff4590987e274671" /><Relationship Type="http://schemas.openxmlformats.org/officeDocument/2006/relationships/hyperlink" Target="h:\hj\20230209.docx" TargetMode="External" Id="Rb5044c7e789541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d540774f-fd7d-491d-bba9-6eb391431bcc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dcfbaa3e-296c-49a8-b339-688c0d17ce4f</T_BILL_REQUEST_REQUEST>
  <T_BILL_R_ORIGINALDRAFT>6e54e36d-5424-436b-a9ba-9bcf73629ad1</T_BILL_R_ORIGINALDRAFT>
  <T_BILL_SPONSOR_SPONSOR>fdc419c2-b8ef-4c27-ae2d-3f3eb6c2e8f0</T_BILL_SPONSOR_SPONSOR>
  <T_BILL_T_ACTNUMBER>None</T_BILL_T_ACTNUMBER>
  <T_BILL_T_BILLNAME>[3927]</T_BILL_T_BILLNAME>
  <T_BILL_T_BILLNUMBER>3927</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None</T_BILL_T_RATNUMBER>
  <T_BILL_T_SECTIONS>[{"SectionUUID":"a693bab5-ce05-467d-ae22-9ce4328113d9","SectionName":"code_section","SectionNumber":1,"SectionType":"code_section","CodeSections":[{"CodeSectionBookmarkName":"cs_T12C37N250_8b26b74cc","IsConstitutionSection":false,"Identity":"12-37-250","IsNew":false,"SubSections":[{"Level":1,"Identity":"T12C37N250S1","SubSectionBookmarkName":"ss_T12C37N250S1_lv1_75f750aa0","IsNewSubSection":false},{"Level":2,"Identity":"T12C37N250Si","SubSectionBookmarkName":"ss_T12C37N250Si_lv2_f782bbfa0","IsNewSubSection":false},{"Level":2,"Identity":"T12C37N250Sii","SubSectionBookmarkName":"ss_T12C37N250Sii_lv2_f61563add","IsNewSubSection":false},{"Level":2,"Identity":"T12C37N250Siii","SubSectionBookmarkName":"ss_T12C37N250Siii_lv2_73846bffa","IsNewSubSection":false}],"TitleRelatedTo":"Homestead exemption for taxpayers sixty-five and over or those totally and permanently disabled or legally blind.","TitleSoAsTo":"","Deleted":false}],"TitleText":"","DisableControls":false,"Deleted":false,"RepealItems":[],"SectionBookmarkName":"bs_num_1_5d85d4062"},{"SectionUUID":"6315902c-5e3a-4c49-a094-7fd4893ca28b","SectionName":"code_section","SectionNumber":2,"SectionType":"code_section","CodeSections":[],"TitleText":"","DisableControls":false,"Deleted":false,"RepealItems":[],"SectionBookmarkName":"bs_num_2_bccad9ef9"},{"SectionUUID":"7196cb22-d4ff-421b-831c-4db0eb5a34f7","SectionName":"standard_eff_date_section","SectionNumber":3,"SectionType":"drafting_clause","CodeSections":[],"TitleText":"","DisableControls":false,"Deleted":false,"RepealItems":[],"SectionBookmarkName":"bs_num_3_lastsection"}]</T_BILL_T_SECTIONS>
  <T_BILL_T_SECTIONSHISTORY>[{"Id":1,"SectionsList":[{"SectionUUID":"a693bab5-ce05-467d-ae22-9ce4328113d9","SectionName":"code_section","SectionNumber":1,"SectionType":"code_section","CodeSections":[{"CodeSectionBookmarkName":"cs_T12C37N250_8b26b74cc","IsConstitutionSection":false,"Identity":"12-37-250","IsNew":false,"SubSections":[],"TitleRelatedTo":"Homestead exemption for taxpayers sixty-five and over or those totally and permanently disabled or legally blind.","TitleSoAsTo":"","Deleted":false}],"TitleText":"","DisableControls":false,"Deleted":false,"RepealItems":[],"SectionBookmarkName":"bs_num_1_5d85d4062"},{"SectionUUID":"6315902c-5e3a-4c49-a094-7fd4893ca28b","SectionName":"code_section","SectionNumber":2,"SectionType":"code_section","CodeSections":[],"TitleText":"","DisableControls":false,"Deleted":false,"RepealItems":[],"SectionBookmarkName":"bs_num_2_bccad9ef9"},{"SectionUUID":"7196cb22-d4ff-421b-831c-4db0eb5a34f7","SectionName":"standard_eff_date_section","SectionNumber":3,"SectionType":"drafting_clause","CodeSections":[],"TitleText":"","DisableControls":false,"Deleted":false,"RepealItems":[],"SectionBookmarkName":"bs_num_3_lastsection"}],"Timestamp":"2023-02-01T11:05:30.7542005-05:00","Username":null},{"Id":2,"SectionsList":[{"SectionUUID":"a693bab5-ce05-467d-ae22-9ce4328113d9","SectionName":"code_section","SectionNumber":1,"SectionType":"code_section","CodeSections":[{"CodeSectionBookmarkName":"cs_T12C37N250_8b26b74cc","IsConstitutionSection":false,"Identity":"12-37-250","IsNew":false,"SubSections":[{"Level":1,"Identity":"T12C37N250S1","SubSectionBookmarkName":"ss_T12C37N250S1_lv1_75f750aa0","IsNewSubSection":false},{"Level":2,"Identity":"T12C37N250Si","SubSectionBookmarkName":"ss_T12C37N250Si_lv2_f782bbfa0","IsNewSubSection":false},{"Level":2,"Identity":"T12C37N250Sii","SubSectionBookmarkName":"ss_T12C37N250Sii_lv2_f61563add","IsNewSubSection":false},{"Level":2,"Identity":"T12C37N250Siii","SubSectionBookmarkName":"ss_T12C37N250Siii_lv2_73846bffa","IsNewSubSection":false}],"TitleRelatedTo":"Homestead exemption for taxpayers sixty-five and over or those totally and permanently disabled or legally blind.","TitleSoAsTo":"","Deleted":false}],"TitleText":"","DisableControls":false,"Deleted":false,"RepealItems":[],"SectionBookmarkName":"bs_num_1_5d85d4062"},{"SectionUUID":"6315902c-5e3a-4c49-a094-7fd4893ca28b","SectionName":"code_section","SectionNumber":2,"SectionType":"code_section","CodeSections":[],"TitleText":"","DisableControls":false,"Deleted":false,"RepealItems":[],"SectionBookmarkName":"bs_num_2_bccad9ef9"},{"SectionUUID":"7196cb22-d4ff-421b-831c-4db0eb5a34f7","SectionName":"standard_eff_date_section","SectionNumber":3,"SectionType":"drafting_clause","CodeSections":[],"TitleText":"","DisableControls":false,"Deleted":false,"RepealItems":[],"SectionBookmarkName":"bs_num_3_lastsection"}],"Timestamp":"2023-02-01T12:39:02.5379605-05:00","Username":"chrischarlton@scstatehouse.gov"}]</T_BILL_T_SECTIONSHISTORY>
  <T_BILL_T_SUBJECT>Homestead exemption</T_BILL_T_SUBJECT>
  <T_BILL_UR_DRAFTER>samanthaallen@scstatehouse.gov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1477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21</cp:revision>
  <cp:lastPrinted>2023-02-01T16:06:00Z</cp:lastPrinted>
  <dcterms:created xsi:type="dcterms:W3CDTF">2022-06-03T11:45:00Z</dcterms:created>
  <dcterms:modified xsi:type="dcterms:W3CDTF">2023-02-01T17:39:00Z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