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Herbkersman and Wetmore</w:t>
      </w:r>
    </w:p>
    <w:p>
      <w:pPr>
        <w:widowControl w:val="false"/>
        <w:spacing w:after="0"/>
        <w:jc w:val="left"/>
      </w:pPr>
      <w:r>
        <w:rPr>
          <w:rFonts w:ascii="Times New Roman"/>
          <w:sz w:val="22"/>
        </w:rPr>
        <w:t xml:space="preserve">Companion/Similar bill(s): 526</w:t>
      </w:r>
    </w:p>
    <w:p>
      <w:pPr>
        <w:widowControl w:val="false"/>
        <w:spacing w:after="0"/>
        <w:jc w:val="left"/>
      </w:pPr>
      <w:r>
        <w:rPr>
          <w:rFonts w:ascii="Times New Roman"/>
          <w:sz w:val="22"/>
        </w:rPr>
        <w:t xml:space="preserve">Document Path: LC-0177DG23.docx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Livable Homes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6f10e50553eb4388">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Ways and Means</w:t>
      </w:r>
      <w:r>
        <w:t xml:space="preserve"> (</w:t>
      </w:r>
      <w:hyperlink w:history="true" r:id="R69b8e8fabb4e4c1b">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Wetmore
 </w:t>
      </w:r>
    </w:p>
    <w:p>
      <w:pPr>
        <w:widowControl w:val="false"/>
        <w:spacing w:after="0"/>
        <w:jc w:val="left"/>
      </w:pPr>
    </w:p>
    <w:p>
      <w:pPr>
        <w:widowControl w:val="false"/>
        <w:spacing w:after="0"/>
        <w:jc w:val="left"/>
      </w:pPr>
      <w:r>
        <w:rPr>
          <w:rFonts w:ascii="Times New Roman"/>
          <w:sz w:val="22"/>
        </w:rPr>
        <w:t xml:space="preserve">View the latest </w:t>
      </w:r>
      <w:hyperlink r:id="R2af2b67a410c47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e49f838ea740e0">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E4E3B" w14:paraId="40FEFADA" w14:textId="6D4C068E">
          <w:pPr>
            <w:pStyle w:val="scbilltitle"/>
            <w:tabs>
              <w:tab w:val="left" w:pos="2104"/>
            </w:tabs>
          </w:pPr>
          <w:r>
            <w:t>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w:t>
          </w:r>
        </w:p>
      </w:sdtContent>
    </w:sdt>
    <w:bookmarkStart w:name="at_7abca90dc" w:displacedByCustomXml="prev" w:id="0"/>
    <w:bookmarkEnd w:id="0"/>
    <w:p w:rsidRPr="00DF3B44" w:rsidR="006C18F0" w:rsidP="006C18F0" w:rsidRDefault="006C18F0" w14:paraId="5BAAC1B7" w14:textId="77777777">
      <w:pPr>
        <w:pStyle w:val="scbillwhereasclause"/>
      </w:pPr>
    </w:p>
    <w:p w:rsidR="000F447D" w:rsidP="000F447D" w:rsidRDefault="000F447D" w14:paraId="58562308" w14:textId="77777777">
      <w:pPr>
        <w:pStyle w:val="scenactingwords"/>
      </w:pPr>
      <w:bookmarkStart w:name="ew_ebbbc67c3" w:id="1"/>
      <w:r>
        <w:t>B</w:t>
      </w:r>
      <w:bookmarkEnd w:id="1"/>
      <w:r>
        <w:t>e it enacted by the General Assembly of the State of South Carolina:</w:t>
      </w:r>
    </w:p>
    <w:p w:rsidR="000F447D" w:rsidP="000F447D" w:rsidRDefault="000F447D" w14:paraId="7B8AC5B1" w14:textId="77777777">
      <w:pPr>
        <w:pStyle w:val="scemptyline"/>
      </w:pPr>
    </w:p>
    <w:p w:rsidRPr="00761722" w:rsidR="000F447D" w:rsidP="000F447D" w:rsidRDefault="000F447D" w14:paraId="15CF04B3" w14:textId="77777777">
      <w:pPr>
        <w:pStyle w:val="scnoncodifiedsection"/>
      </w:pPr>
      <w:bookmarkStart w:name="bs_num_1_9240b1a05" w:id="2"/>
      <w:r w:rsidRPr="00761722">
        <w:rPr>
          <w:color w:val="000000" w:themeColor="text1"/>
          <w:u w:color="000000" w:themeColor="text1"/>
        </w:rPr>
        <w:t>S</w:t>
      </w:r>
      <w:bookmarkEnd w:id="2"/>
      <w:r>
        <w:t xml:space="preserve">ECTION </w:t>
      </w:r>
      <w:r w:rsidRPr="00761722">
        <w:rPr>
          <w:color w:val="000000" w:themeColor="text1"/>
          <w:u w:color="000000" w:themeColor="text1"/>
        </w:rPr>
        <w:t>1.</w:t>
      </w:r>
      <w:r w:rsidRPr="00761722">
        <w:rPr>
          <w:color w:val="000000" w:themeColor="text1"/>
          <w:u w:color="000000" w:themeColor="text1"/>
        </w:rPr>
        <w:tab/>
        <w:t>This act may be cited as the “Livable Homes Tax Credit Act”.</w:t>
      </w:r>
    </w:p>
    <w:p w:rsidRPr="00761722" w:rsidR="000F447D" w:rsidP="000F447D" w:rsidRDefault="000F447D" w14:paraId="41F401FF" w14:textId="77777777">
      <w:pPr>
        <w:pStyle w:val="scemptyline"/>
      </w:pPr>
    </w:p>
    <w:p w:rsidRPr="00761722" w:rsidR="000F447D" w:rsidP="000F447D" w:rsidRDefault="000F447D" w14:paraId="48FD6B9A" w14:textId="5F806818">
      <w:pPr>
        <w:pStyle w:val="scdirectionallanguage"/>
      </w:pPr>
      <w:bookmarkStart w:name="bs_num_2_dd9f3de2d" w:id="3"/>
      <w:r w:rsidRPr="00761722">
        <w:rPr>
          <w:color w:val="000000" w:themeColor="text1"/>
          <w:u w:color="000000" w:themeColor="text1"/>
        </w:rPr>
        <w:t>S</w:t>
      </w:r>
      <w:bookmarkEnd w:id="3"/>
      <w:r>
        <w:t xml:space="preserve">ECTION </w:t>
      </w:r>
      <w:r w:rsidRPr="00761722">
        <w:rPr>
          <w:color w:val="000000" w:themeColor="text1"/>
          <w:u w:color="000000" w:themeColor="text1"/>
        </w:rPr>
        <w:t>2.</w:t>
      </w:r>
      <w:r>
        <w:tab/>
      </w:r>
      <w:bookmarkStart w:name="dl_b0ba3c2a2" w:id="4"/>
      <w:r w:rsidRPr="00761722">
        <w:rPr>
          <w:color w:val="000000" w:themeColor="text1"/>
          <w:u w:color="000000" w:themeColor="text1"/>
        </w:rPr>
        <w:t>A</w:t>
      </w:r>
      <w:bookmarkEnd w:id="4"/>
      <w:r>
        <w:t xml:space="preserve">rticle 25, Chapter 6, Title 12 of the </w:t>
      </w:r>
      <w:r w:rsidR="0001218A">
        <w:t>S.C.</w:t>
      </w:r>
      <w:r>
        <w:t xml:space="preserve"> Code is amended by adding:</w:t>
      </w:r>
    </w:p>
    <w:p w:rsidRPr="00761722" w:rsidR="000F447D" w:rsidP="000F447D" w:rsidRDefault="000F447D" w14:paraId="3D15D63A" w14:textId="77777777">
      <w:pPr>
        <w:pStyle w:val="scemptyline"/>
      </w:pPr>
    </w:p>
    <w:p w:rsidRPr="00761722" w:rsidR="000F447D" w:rsidP="000F447D" w:rsidRDefault="000F447D" w14:paraId="09C83C66" w14:textId="77777777">
      <w:pPr>
        <w:pStyle w:val="scnewcodesection"/>
      </w:pPr>
      <w:bookmarkStart w:name="ns_T12C6N3810_08fce9594" w:id="5"/>
      <w:r>
        <w:tab/>
      </w:r>
      <w:bookmarkEnd w:id="5"/>
      <w:r w:rsidRPr="00761722">
        <w:rPr>
          <w:color w:val="000000" w:themeColor="text1"/>
          <w:u w:color="000000" w:themeColor="text1"/>
        </w:rPr>
        <w:t>Section 12</w:t>
      </w:r>
      <w:r w:rsidRPr="00761722">
        <w:rPr>
          <w:color w:val="000000" w:themeColor="text1"/>
          <w:u w:color="000000" w:themeColor="text1"/>
        </w:rPr>
        <w:noBreakHyphen/>
        <w:t>6</w:t>
      </w:r>
      <w:r w:rsidRPr="00761722">
        <w:rPr>
          <w:color w:val="000000" w:themeColor="text1"/>
          <w:u w:color="000000" w:themeColor="text1"/>
        </w:rPr>
        <w:noBreakHyphen/>
        <w:t>3810.</w:t>
      </w:r>
      <w:r w:rsidRPr="00761722">
        <w:rPr>
          <w:color w:val="000000" w:themeColor="text1"/>
          <w:u w:color="000000" w:themeColor="text1"/>
        </w:rPr>
        <w:tab/>
        <w:t>(A)</w:t>
      </w:r>
      <w:r w:rsidRPr="00761722">
        <w:t xml:space="preserve"> </w:t>
      </w:r>
      <w:r w:rsidRPr="00761722">
        <w:rPr>
          <w:color w:val="000000" w:themeColor="text1"/>
          <w:u w:color="000000" w:themeColor="text1"/>
        </w:rPr>
        <w:t>For purposes of this section:</w:t>
      </w:r>
    </w:p>
    <w:p w:rsidRPr="00761722" w:rsidR="000F447D" w:rsidP="000F447D" w:rsidRDefault="000F447D" w14:paraId="61C1D9E9" w14:textId="1C796D9E">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_lv1_e1e74239a" w:id="6"/>
      <w:r w:rsidRPr="00761722">
        <w:rPr>
          <w:color w:val="000000" w:themeColor="text1"/>
          <w:u w:color="000000" w:themeColor="text1"/>
        </w:rPr>
        <w:t>(</w:t>
      </w:r>
      <w:bookmarkEnd w:id="6"/>
      <w:r w:rsidRPr="00761722">
        <w:rPr>
          <w:color w:val="000000" w:themeColor="text1"/>
          <w:u w:color="000000" w:themeColor="text1"/>
        </w:rPr>
        <w:t>1)</w:t>
      </w:r>
      <w:r w:rsidRPr="00761722">
        <w:t xml:space="preserve"> </w:t>
      </w:r>
      <w:r w:rsidR="0001218A">
        <w:rPr>
          <w:color w:val="000000" w:themeColor="text1"/>
          <w:u w:color="000000" w:themeColor="text1"/>
        </w:rPr>
        <w:t>“</w:t>
      </w:r>
      <w:r w:rsidRPr="00761722">
        <w:rPr>
          <w:color w:val="000000" w:themeColor="text1"/>
          <w:u w:color="000000" w:themeColor="text1"/>
        </w:rPr>
        <w:t>Purchase of a new residence</w:t>
      </w:r>
      <w:r w:rsidR="0001218A">
        <w:rPr>
          <w:color w:val="000000" w:themeColor="text1"/>
          <w:u w:color="000000" w:themeColor="text1"/>
        </w:rPr>
        <w:t>”</w:t>
      </w:r>
      <w:r w:rsidRPr="00761722">
        <w:rPr>
          <w:color w:val="000000" w:themeColor="text1"/>
          <w:u w:color="000000" w:themeColor="text1"/>
        </w:rPr>
        <w:t xml:space="preserve"> means a transaction involving the first sale of a residence or dwelling. This includes newly constructed units and residential units created through the adaptive reuse of buildings previously used for nonresidential uses.</w:t>
      </w:r>
    </w:p>
    <w:p w:rsidRPr="00761722" w:rsidR="000F447D" w:rsidP="000F447D" w:rsidRDefault="000F447D" w14:paraId="64D1BD13" w14:textId="1DD37313">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2_lv1_96c34e704" w:id="7"/>
      <w:r w:rsidRPr="00761722">
        <w:rPr>
          <w:color w:val="000000" w:themeColor="text1"/>
          <w:u w:color="000000" w:themeColor="text1"/>
        </w:rPr>
        <w:t>(</w:t>
      </w:r>
      <w:bookmarkEnd w:id="7"/>
      <w:r w:rsidRPr="00761722">
        <w:rPr>
          <w:color w:val="000000" w:themeColor="text1"/>
          <w:u w:color="000000" w:themeColor="text1"/>
        </w:rPr>
        <w:t>2)</w:t>
      </w:r>
      <w:r w:rsidRPr="00761722">
        <w:t xml:space="preserve"> </w:t>
      </w:r>
      <w:r w:rsidR="0001218A">
        <w:rPr>
          <w:color w:val="000000" w:themeColor="text1"/>
          <w:u w:color="000000" w:themeColor="text1"/>
        </w:rPr>
        <w:t>“</w:t>
      </w:r>
      <w:r w:rsidRPr="00761722">
        <w:rPr>
          <w:color w:val="000000" w:themeColor="text1"/>
          <w:u w:color="000000" w:themeColor="text1"/>
        </w:rPr>
        <w:t>Sensory modifications</w:t>
      </w:r>
      <w:r w:rsidR="0001218A">
        <w:rPr>
          <w:color w:val="000000" w:themeColor="text1"/>
          <w:u w:color="000000" w:themeColor="text1"/>
        </w:rPr>
        <w:t>”</w:t>
      </w:r>
      <w:r w:rsidRPr="00761722">
        <w:rPr>
          <w:color w:val="000000" w:themeColor="text1"/>
          <w:u w:color="000000" w:themeColor="text1"/>
        </w:rPr>
        <w:t xml:space="preserve"> means alarms, appliances, and controls designed to assist sensory disabled persons that are structurally integrated into the residential unit including, but not limited to, built</w:t>
      </w:r>
      <w:r w:rsidRPr="00761722">
        <w:rPr>
          <w:color w:val="000000" w:themeColor="text1"/>
          <w:u w:color="000000" w:themeColor="text1"/>
        </w:rPr>
        <w:noBreakHyphen/>
        <w:t>in appliances. Accommodations or features that can be removed and reinstalled in another residential unit and reused at another location are not considered to be sensory modifications for the purposes of this section.</w:t>
      </w:r>
    </w:p>
    <w:p w:rsidRPr="00761722" w:rsidR="000F447D" w:rsidP="000F447D" w:rsidRDefault="000F447D" w14:paraId="5D4F5E4A" w14:textId="77777777">
      <w:pPr>
        <w:pStyle w:val="scnewcodesection"/>
      </w:pPr>
      <w:r w:rsidRPr="00761722">
        <w:rPr>
          <w:color w:val="000000" w:themeColor="text1"/>
          <w:u w:color="000000" w:themeColor="text1"/>
        </w:rPr>
        <w:tab/>
      </w:r>
      <w:bookmarkStart w:name="ss_T12C6N3810SB_lv2_c52be729f" w:id="8"/>
      <w:r w:rsidRPr="00761722">
        <w:rPr>
          <w:color w:val="000000" w:themeColor="text1"/>
          <w:u w:color="000000" w:themeColor="text1"/>
        </w:rPr>
        <w:t>(</w:t>
      </w:r>
      <w:bookmarkEnd w:id="8"/>
      <w:r w:rsidRPr="00761722">
        <w:rPr>
          <w:color w:val="000000" w:themeColor="text1"/>
          <w:u w:color="000000" w:themeColor="text1"/>
        </w:rPr>
        <w:t>B)</w:t>
      </w:r>
      <w:r w:rsidRPr="00761722">
        <w:t xml:space="preserve"> </w:t>
      </w:r>
      <w:r w:rsidRPr="00761722">
        <w:rPr>
          <w:color w:val="000000" w:themeColor="text1"/>
          <w:u w:color="000000" w:themeColor="text1"/>
        </w:rPr>
        <w:t>An individual who purchases a new residence or retrofits or hires a licensed contractor, as defined in Section 40</w:t>
      </w:r>
      <w:r w:rsidRPr="00761722">
        <w:rPr>
          <w:color w:val="000000" w:themeColor="text1"/>
          <w:u w:color="000000" w:themeColor="text1"/>
        </w:rPr>
        <w:noBreakHyphen/>
        <w:t>11</w:t>
      </w:r>
      <w:r w:rsidRPr="00761722">
        <w:rPr>
          <w:color w:val="000000" w:themeColor="text1"/>
          <w:u w:color="000000" w:themeColor="text1"/>
        </w:rPr>
        <w:noBreakHyphen/>
        <w:t xml:space="preserve">20, to retrofit an existing residence, that is designed to improve accessibility and provide universal </w:t>
      </w:r>
      <w:proofErr w:type="spellStart"/>
      <w:r w:rsidRPr="00761722">
        <w:rPr>
          <w:color w:val="000000" w:themeColor="text1"/>
          <w:u w:color="000000" w:themeColor="text1"/>
        </w:rPr>
        <w:t>visitability</w:t>
      </w:r>
      <w:proofErr w:type="spellEnd"/>
      <w:r w:rsidRPr="00761722">
        <w:rPr>
          <w:color w:val="000000" w:themeColor="text1"/>
          <w:u w:color="000000" w:themeColor="text1"/>
        </w:rPr>
        <w:t xml:space="preserve"> is allowed an income tax credit equal to ten thousand dollars, but not to exceed the value added by the design.</w:t>
      </w:r>
    </w:p>
    <w:p w:rsidRPr="00761722" w:rsidR="000F447D" w:rsidP="000F447D" w:rsidRDefault="000F447D" w14:paraId="48E1154C" w14:textId="77777777">
      <w:pPr>
        <w:pStyle w:val="scnewcodesection"/>
      </w:pPr>
      <w:r w:rsidRPr="00761722">
        <w:rPr>
          <w:color w:val="000000" w:themeColor="text1"/>
          <w:u w:color="000000" w:themeColor="text1"/>
        </w:rPr>
        <w:tab/>
      </w:r>
      <w:bookmarkStart w:name="ss_T12C6N3810SC_lv2_f234e06af" w:id="9"/>
      <w:r w:rsidRPr="00761722">
        <w:rPr>
          <w:color w:val="000000" w:themeColor="text1"/>
          <w:u w:color="000000" w:themeColor="text1"/>
        </w:rPr>
        <w:t>(</w:t>
      </w:r>
      <w:bookmarkEnd w:id="9"/>
      <w:r w:rsidRPr="00761722">
        <w:rPr>
          <w:color w:val="000000" w:themeColor="text1"/>
          <w:u w:color="000000" w:themeColor="text1"/>
        </w:rPr>
        <w:t>C)</w:t>
      </w:r>
      <w:r w:rsidRPr="00761722">
        <w:t xml:space="preserve"> </w:t>
      </w:r>
      <w:r w:rsidRPr="00761722">
        <w:rPr>
          <w:color w:val="000000" w:themeColor="text1"/>
          <w:u w:color="000000" w:themeColor="text1"/>
        </w:rPr>
        <w:t xml:space="preserve">The credit is earned in the year in which the individual purchases or retrofits the residence. The amount of credit taken by an individual pursuant to this section may not exceed the individual’s income tax liability for the taxable year. A credit claimed pursuant to this section but not used in a taxable year </w:t>
      </w:r>
      <w:r w:rsidRPr="00761722">
        <w:rPr>
          <w:color w:val="000000" w:themeColor="text1"/>
          <w:u w:color="000000" w:themeColor="text1"/>
        </w:rPr>
        <w:lastRenderedPageBreak/>
        <w:t>may be carried forward for ten years from the taxable year in which the credit is earned by the individual.</w:t>
      </w:r>
    </w:p>
    <w:p w:rsidRPr="00761722" w:rsidR="000F447D" w:rsidP="000F447D" w:rsidRDefault="000F447D" w14:paraId="7DFAEB55" w14:textId="77777777">
      <w:pPr>
        <w:pStyle w:val="scnewcodesection"/>
      </w:pPr>
      <w:r w:rsidRPr="00761722">
        <w:rPr>
          <w:color w:val="000000" w:themeColor="text1"/>
          <w:u w:color="000000" w:themeColor="text1"/>
        </w:rPr>
        <w:tab/>
      </w:r>
      <w:bookmarkStart w:name="ss_T12C6N3810SD_lv2_2659909d8" w:id="10"/>
      <w:r w:rsidRPr="00761722">
        <w:rPr>
          <w:color w:val="000000" w:themeColor="text1"/>
          <w:u w:color="000000" w:themeColor="text1"/>
        </w:rPr>
        <w:t>(</w:t>
      </w:r>
      <w:bookmarkEnd w:id="10"/>
      <w:r w:rsidRPr="00761722">
        <w:rPr>
          <w:color w:val="000000" w:themeColor="text1"/>
          <w:u w:color="000000" w:themeColor="text1"/>
        </w:rPr>
        <w:t>D)</w:t>
      </w:r>
      <w:r w:rsidRPr="00761722">
        <w:t xml:space="preserve"> </w:t>
      </w:r>
      <w:r w:rsidRPr="00761722">
        <w:rPr>
          <w:color w:val="000000" w:themeColor="text1"/>
          <w:u w:color="000000" w:themeColor="text1"/>
        </w:rPr>
        <w:t>New residences must have the following design elements to qualify:</w:t>
      </w:r>
    </w:p>
    <w:p w:rsidRPr="00761722" w:rsidR="000F447D" w:rsidP="000F447D" w:rsidRDefault="000F447D" w14:paraId="1E231D35"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_lv3_7a80f6c3f" w:id="11"/>
      <w:r w:rsidRPr="00761722">
        <w:rPr>
          <w:color w:val="000000" w:themeColor="text1"/>
          <w:u w:color="000000" w:themeColor="text1"/>
        </w:rPr>
        <w:t>(</w:t>
      </w:r>
      <w:bookmarkEnd w:id="11"/>
      <w:r w:rsidRPr="00761722">
        <w:rPr>
          <w:color w:val="000000" w:themeColor="text1"/>
          <w:u w:color="000000" w:themeColor="text1"/>
        </w:rPr>
        <w:t>1)</w:t>
      </w:r>
      <w:r w:rsidRPr="00761722">
        <w:t xml:space="preserve"> </w:t>
      </w:r>
      <w:r w:rsidRPr="00761722">
        <w:rPr>
          <w:color w:val="000000" w:themeColor="text1"/>
          <w:u w:color="000000" w:themeColor="text1"/>
        </w:rPr>
        <w:t xml:space="preserve">universal </w:t>
      </w:r>
      <w:proofErr w:type="spellStart"/>
      <w:r w:rsidRPr="00761722">
        <w:rPr>
          <w:color w:val="000000" w:themeColor="text1"/>
          <w:u w:color="000000" w:themeColor="text1"/>
        </w:rPr>
        <w:t>visitability</w:t>
      </w:r>
      <w:proofErr w:type="spellEnd"/>
      <w:r w:rsidRPr="00761722">
        <w:rPr>
          <w:color w:val="000000" w:themeColor="text1"/>
          <w:u w:color="000000" w:themeColor="text1"/>
        </w:rPr>
        <w:t xml:space="preserve"> with at least one zero</w:t>
      </w:r>
      <w:r w:rsidRPr="00761722">
        <w:rPr>
          <w:color w:val="000000" w:themeColor="text1"/>
          <w:u w:color="000000" w:themeColor="text1"/>
        </w:rPr>
        <w:noBreakHyphen/>
        <w:t>step entrance allowing access into the residence; an accessible bathroom on the same floor as the zero</w:t>
      </w:r>
      <w:r w:rsidRPr="00761722">
        <w:rPr>
          <w:color w:val="000000" w:themeColor="text1"/>
          <w:u w:color="000000" w:themeColor="text1"/>
        </w:rPr>
        <w:noBreakHyphen/>
        <w:t>step entrance; doors with at least thirty</w:t>
      </w:r>
      <w:r w:rsidRPr="00761722">
        <w:rPr>
          <w:color w:val="000000" w:themeColor="text1"/>
          <w:u w:color="000000" w:themeColor="text1"/>
        </w:rPr>
        <w:noBreakHyphen/>
        <w:t>two inches of clear width; and hallways or passages of at least thirty</w:t>
      </w:r>
      <w:r w:rsidRPr="00761722">
        <w:rPr>
          <w:color w:val="000000" w:themeColor="text1"/>
          <w:u w:color="000000" w:themeColor="text1"/>
        </w:rPr>
        <w:noBreakHyphen/>
        <w:t xml:space="preserve">six inches of clear width to the accessible bathroom and eating area; </w:t>
      </w:r>
    </w:p>
    <w:p w:rsidRPr="00761722" w:rsidR="000F447D" w:rsidP="000F447D" w:rsidRDefault="000F447D" w14:paraId="44244183"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2_lv3_ff7fe986b" w:id="12"/>
      <w:r w:rsidRPr="00761722">
        <w:rPr>
          <w:color w:val="000000" w:themeColor="text1"/>
          <w:u w:color="000000" w:themeColor="text1"/>
        </w:rPr>
        <w:t>(</w:t>
      </w:r>
      <w:bookmarkEnd w:id="12"/>
      <w:r w:rsidRPr="00761722">
        <w:rPr>
          <w:color w:val="000000" w:themeColor="text1"/>
          <w:u w:color="000000" w:themeColor="text1"/>
        </w:rPr>
        <w:t>2)</w:t>
      </w:r>
      <w:r w:rsidRPr="00761722">
        <w:t xml:space="preserve"> </w:t>
      </w:r>
      <w:r w:rsidRPr="00761722">
        <w:rPr>
          <w:color w:val="000000" w:themeColor="text1"/>
          <w:u w:color="000000" w:themeColor="text1"/>
        </w:rPr>
        <w:t>an accessible route to at least one zero</w:t>
      </w:r>
      <w:r w:rsidRPr="00761722">
        <w:rPr>
          <w:color w:val="000000" w:themeColor="text1"/>
          <w:u w:color="000000" w:themeColor="text1"/>
        </w:rPr>
        <w:noBreakHyphen/>
        <w:t>step entrance allowing access into the residence with at least two of the following features:</w:t>
      </w:r>
    </w:p>
    <w:p w:rsidRPr="00761722" w:rsidR="000F447D" w:rsidP="000F447D" w:rsidRDefault="000F447D" w14:paraId="3DF20E77" w14:textId="77777777">
      <w:pPr>
        <w:pStyle w:val="scnewcodesection"/>
      </w:pPr>
      <w:r w:rsidRPr="00761722">
        <w:rPr>
          <w:color w:val="000000" w:themeColor="text1"/>
          <w:u w:color="000000" w:themeColor="text1"/>
        </w:rPr>
        <w:tab/>
      </w:r>
      <w:r w:rsidRPr="00761722">
        <w:rPr>
          <w:color w:val="000000" w:themeColor="text1"/>
          <w:u w:color="000000" w:themeColor="text1"/>
        </w:rPr>
        <w:tab/>
      </w:r>
      <w:r w:rsidRPr="00761722">
        <w:rPr>
          <w:color w:val="000000" w:themeColor="text1"/>
          <w:u w:color="000000" w:themeColor="text1"/>
        </w:rPr>
        <w:tab/>
      </w:r>
      <w:bookmarkStart w:name="ss_T12C6N3810Sa_lv4_0a8bcd1e0" w:id="13"/>
      <w:r w:rsidRPr="00761722">
        <w:rPr>
          <w:color w:val="000000" w:themeColor="text1"/>
          <w:u w:color="000000" w:themeColor="text1"/>
        </w:rPr>
        <w:t>(</w:t>
      </w:r>
      <w:bookmarkEnd w:id="13"/>
      <w:r w:rsidRPr="00761722">
        <w:rPr>
          <w:color w:val="000000" w:themeColor="text1"/>
          <w:u w:color="000000" w:themeColor="text1"/>
        </w:rPr>
        <w:t>a)</w:t>
      </w:r>
      <w:r w:rsidRPr="00761722">
        <w:t xml:space="preserve"> </w:t>
      </w:r>
      <w:r w:rsidRPr="00761722">
        <w:rPr>
          <w:color w:val="000000" w:themeColor="text1"/>
          <w:u w:color="000000" w:themeColor="text1"/>
        </w:rPr>
        <w:t>accessible light switches, electrical outlets, and environmental controls;</w:t>
      </w:r>
    </w:p>
    <w:p w:rsidRPr="00761722" w:rsidR="000F447D" w:rsidP="000F447D" w:rsidRDefault="000F447D" w14:paraId="0A21B6D6" w14:textId="77777777">
      <w:pPr>
        <w:pStyle w:val="scnewcodesection"/>
      </w:pPr>
      <w:r w:rsidRPr="00761722">
        <w:rPr>
          <w:color w:val="000000" w:themeColor="text1"/>
          <w:u w:color="000000" w:themeColor="text1"/>
        </w:rPr>
        <w:tab/>
      </w:r>
      <w:r w:rsidRPr="00761722">
        <w:rPr>
          <w:color w:val="000000" w:themeColor="text1"/>
          <w:u w:color="000000" w:themeColor="text1"/>
        </w:rPr>
        <w:tab/>
      </w:r>
      <w:r w:rsidRPr="00761722">
        <w:rPr>
          <w:color w:val="000000" w:themeColor="text1"/>
          <w:u w:color="000000" w:themeColor="text1"/>
        </w:rPr>
        <w:tab/>
      </w:r>
      <w:bookmarkStart w:name="ss_T12C6N3810Sb_lv4_aab2874a2" w:id="14"/>
      <w:r w:rsidRPr="00761722">
        <w:rPr>
          <w:color w:val="000000" w:themeColor="text1"/>
          <w:u w:color="000000" w:themeColor="text1"/>
        </w:rPr>
        <w:t>(</w:t>
      </w:r>
      <w:bookmarkEnd w:id="14"/>
      <w:r w:rsidRPr="00761722">
        <w:rPr>
          <w:color w:val="000000" w:themeColor="text1"/>
          <w:u w:color="000000" w:themeColor="text1"/>
        </w:rPr>
        <w:t>b)</w:t>
      </w:r>
      <w:r w:rsidRPr="00761722">
        <w:t xml:space="preserve"> </w:t>
      </w:r>
      <w:r w:rsidRPr="00761722">
        <w:rPr>
          <w:color w:val="000000" w:themeColor="text1"/>
          <w:u w:color="000000" w:themeColor="text1"/>
        </w:rPr>
        <w:t>an accessible bathroom on the main floor; or</w:t>
      </w:r>
    </w:p>
    <w:p w:rsidRPr="00761722" w:rsidR="000F447D" w:rsidP="000F447D" w:rsidRDefault="000F447D" w14:paraId="4A6FEDC8" w14:textId="77777777">
      <w:pPr>
        <w:pStyle w:val="scnewcodesection"/>
      </w:pPr>
      <w:r w:rsidRPr="00761722">
        <w:rPr>
          <w:color w:val="000000" w:themeColor="text1"/>
          <w:u w:color="000000" w:themeColor="text1"/>
        </w:rPr>
        <w:tab/>
      </w:r>
      <w:r w:rsidRPr="00761722">
        <w:rPr>
          <w:color w:val="000000" w:themeColor="text1"/>
          <w:u w:color="000000" w:themeColor="text1"/>
        </w:rPr>
        <w:tab/>
      </w:r>
      <w:r w:rsidRPr="00761722">
        <w:rPr>
          <w:color w:val="000000" w:themeColor="text1"/>
          <w:u w:color="000000" w:themeColor="text1"/>
        </w:rPr>
        <w:tab/>
      </w:r>
      <w:bookmarkStart w:name="ss_T12C6N3810Sc_lv4_4a660cd81" w:id="15"/>
      <w:r w:rsidRPr="00761722">
        <w:rPr>
          <w:color w:val="000000" w:themeColor="text1"/>
          <w:u w:color="000000" w:themeColor="text1"/>
        </w:rPr>
        <w:t>(</w:t>
      </w:r>
      <w:bookmarkEnd w:id="15"/>
      <w:r w:rsidRPr="00761722">
        <w:rPr>
          <w:color w:val="000000" w:themeColor="text1"/>
          <w:u w:color="000000" w:themeColor="text1"/>
        </w:rPr>
        <w:t>c)</w:t>
      </w:r>
      <w:r w:rsidRPr="00761722">
        <w:t xml:space="preserve"> </w:t>
      </w:r>
      <w:r w:rsidRPr="00761722">
        <w:rPr>
          <w:color w:val="000000" w:themeColor="text1"/>
          <w:u w:color="000000" w:themeColor="text1"/>
        </w:rPr>
        <w:t>accessible and useable kitchen facilities; or</w:t>
      </w:r>
    </w:p>
    <w:p w:rsidRPr="00761722" w:rsidR="000F447D" w:rsidP="000F447D" w:rsidRDefault="000F447D" w14:paraId="4301FAC8"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3_lv3_b5e215376" w:id="16"/>
      <w:r w:rsidRPr="00761722">
        <w:rPr>
          <w:color w:val="000000" w:themeColor="text1"/>
          <w:u w:color="000000" w:themeColor="text1"/>
        </w:rPr>
        <w:t>(</w:t>
      </w:r>
      <w:bookmarkEnd w:id="16"/>
      <w:r w:rsidRPr="00761722">
        <w:rPr>
          <w:color w:val="000000" w:themeColor="text1"/>
          <w:u w:color="000000" w:themeColor="text1"/>
        </w:rPr>
        <w:t>3)</w:t>
      </w:r>
      <w:r w:rsidRPr="00761722">
        <w:t xml:space="preserve"> </w:t>
      </w:r>
      <w:r w:rsidRPr="00761722">
        <w:rPr>
          <w:color w:val="000000" w:themeColor="text1"/>
          <w:u w:color="000000" w:themeColor="text1"/>
        </w:rPr>
        <w:t>homes that carry the Certified Universal Living home certification, or any other third</w:t>
      </w:r>
      <w:r w:rsidRPr="00761722">
        <w:rPr>
          <w:color w:val="000000" w:themeColor="text1"/>
          <w:u w:color="000000" w:themeColor="text1"/>
        </w:rPr>
        <w:noBreakHyphen/>
        <w:t>party verified certification that includes all items listed in items (1) and (2). Proof of certification must be provided by the homeowner to the department.</w:t>
      </w:r>
    </w:p>
    <w:p w:rsidRPr="00761722" w:rsidR="000F447D" w:rsidP="000F447D" w:rsidRDefault="000F447D" w14:paraId="3DFE9E6D" w14:textId="77777777">
      <w:pPr>
        <w:pStyle w:val="scnewcodesection"/>
      </w:pPr>
      <w:r w:rsidRPr="00761722">
        <w:rPr>
          <w:color w:val="000000" w:themeColor="text1"/>
          <w:u w:color="000000" w:themeColor="text1"/>
        </w:rPr>
        <w:tab/>
      </w:r>
      <w:bookmarkStart w:name="ss_T12C6N3810SE_lv2_2f4b4f499" w:id="17"/>
      <w:r w:rsidRPr="00761722">
        <w:rPr>
          <w:color w:val="000000" w:themeColor="text1"/>
          <w:u w:color="000000" w:themeColor="text1"/>
        </w:rPr>
        <w:t>(</w:t>
      </w:r>
      <w:bookmarkEnd w:id="17"/>
      <w:r w:rsidRPr="00761722">
        <w:rPr>
          <w:color w:val="000000" w:themeColor="text1"/>
          <w:u w:color="000000" w:themeColor="text1"/>
        </w:rPr>
        <w:t>E)</w:t>
      </w:r>
      <w:r w:rsidRPr="00761722">
        <w:t xml:space="preserve"> </w:t>
      </w:r>
      <w:r w:rsidRPr="00761722">
        <w:rPr>
          <w:color w:val="000000" w:themeColor="text1"/>
          <w:u w:color="000000" w:themeColor="text1"/>
        </w:rPr>
        <w:t>Eligible costs for the retrofitting of an existing residential unit may include modifications that become a permanent part of the structure and provide:</w:t>
      </w:r>
    </w:p>
    <w:p w:rsidRPr="00761722" w:rsidR="000F447D" w:rsidP="000F447D" w:rsidRDefault="000F447D" w14:paraId="6C109848"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_lv3_b7050401f" w:id="18"/>
      <w:r w:rsidRPr="00761722">
        <w:rPr>
          <w:color w:val="000000" w:themeColor="text1"/>
          <w:u w:color="000000" w:themeColor="text1"/>
        </w:rPr>
        <w:t>(</w:t>
      </w:r>
      <w:bookmarkEnd w:id="18"/>
      <w:r w:rsidRPr="00761722">
        <w:rPr>
          <w:color w:val="000000" w:themeColor="text1"/>
          <w:u w:color="000000" w:themeColor="text1"/>
        </w:rPr>
        <w:t>1)</w:t>
      </w:r>
      <w:r w:rsidRPr="00761722">
        <w:t xml:space="preserve"> </w:t>
      </w:r>
      <w:r w:rsidRPr="00761722">
        <w:rPr>
          <w:color w:val="000000" w:themeColor="text1"/>
          <w:u w:color="000000" w:themeColor="text1"/>
        </w:rPr>
        <w:t>accessible route to a zero</w:t>
      </w:r>
      <w:r w:rsidRPr="00761722">
        <w:rPr>
          <w:color w:val="000000" w:themeColor="text1"/>
          <w:u w:color="000000" w:themeColor="text1"/>
        </w:rPr>
        <w:noBreakHyphen/>
        <w:t>step entrance into the residence;</w:t>
      </w:r>
    </w:p>
    <w:p w:rsidRPr="00761722" w:rsidR="000F447D" w:rsidP="000F447D" w:rsidRDefault="000F447D" w14:paraId="53AEF672"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2_lv3_38522850d" w:id="19"/>
      <w:r w:rsidRPr="00761722">
        <w:rPr>
          <w:color w:val="000000" w:themeColor="text1"/>
          <w:u w:color="000000" w:themeColor="text1"/>
        </w:rPr>
        <w:t>(</w:t>
      </w:r>
      <w:bookmarkEnd w:id="19"/>
      <w:r w:rsidRPr="00761722">
        <w:rPr>
          <w:color w:val="000000" w:themeColor="text1"/>
          <w:u w:color="000000" w:themeColor="text1"/>
        </w:rPr>
        <w:t>2)</w:t>
      </w:r>
      <w:r w:rsidRPr="00761722">
        <w:t xml:space="preserve"> </w:t>
      </w:r>
      <w:r w:rsidRPr="00761722">
        <w:rPr>
          <w:color w:val="000000" w:themeColor="text1"/>
          <w:u w:color="000000" w:themeColor="text1"/>
        </w:rPr>
        <w:t>zero</w:t>
      </w:r>
      <w:r w:rsidRPr="00761722">
        <w:rPr>
          <w:color w:val="000000" w:themeColor="text1"/>
          <w:u w:color="000000" w:themeColor="text1"/>
        </w:rPr>
        <w:noBreakHyphen/>
        <w:t xml:space="preserve">step entrance into the residence; </w:t>
      </w:r>
    </w:p>
    <w:p w:rsidRPr="00761722" w:rsidR="000F447D" w:rsidP="000F447D" w:rsidRDefault="000F447D" w14:paraId="7A3149A7"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3_lv3_f1f5fcd77" w:id="20"/>
      <w:r w:rsidRPr="00761722">
        <w:rPr>
          <w:color w:val="000000" w:themeColor="text1"/>
          <w:u w:color="000000" w:themeColor="text1"/>
        </w:rPr>
        <w:t>(</w:t>
      </w:r>
      <w:bookmarkEnd w:id="20"/>
      <w:r w:rsidRPr="00761722">
        <w:rPr>
          <w:color w:val="000000" w:themeColor="text1"/>
          <w:u w:color="000000" w:themeColor="text1"/>
        </w:rPr>
        <w:t>3)</w:t>
      </w:r>
      <w:r w:rsidRPr="00761722">
        <w:t xml:space="preserve"> </w:t>
      </w:r>
      <w:r w:rsidRPr="00761722">
        <w:rPr>
          <w:color w:val="000000" w:themeColor="text1"/>
          <w:u w:color="000000" w:themeColor="text1"/>
        </w:rPr>
        <w:t>doors with at least thirty</w:t>
      </w:r>
      <w:r w:rsidRPr="00761722">
        <w:rPr>
          <w:color w:val="000000" w:themeColor="text1"/>
          <w:u w:color="000000" w:themeColor="text1"/>
        </w:rPr>
        <w:noBreakHyphen/>
        <w:t>two inches of clear width;</w:t>
      </w:r>
    </w:p>
    <w:p w:rsidRPr="00761722" w:rsidR="000F447D" w:rsidP="000F447D" w:rsidRDefault="000F447D" w14:paraId="4FE38E7E"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4_lv3_d9ceda970" w:id="21"/>
      <w:r w:rsidRPr="00761722">
        <w:rPr>
          <w:color w:val="000000" w:themeColor="text1"/>
          <w:u w:color="000000" w:themeColor="text1"/>
        </w:rPr>
        <w:t>(</w:t>
      </w:r>
      <w:bookmarkEnd w:id="21"/>
      <w:r w:rsidRPr="00761722">
        <w:rPr>
          <w:color w:val="000000" w:themeColor="text1"/>
          <w:u w:color="000000" w:themeColor="text1"/>
        </w:rPr>
        <w:t>4)</w:t>
      </w:r>
      <w:r w:rsidRPr="00761722">
        <w:t xml:space="preserve"> </w:t>
      </w:r>
      <w:r w:rsidRPr="00761722">
        <w:rPr>
          <w:color w:val="000000" w:themeColor="text1"/>
          <w:u w:color="000000" w:themeColor="text1"/>
        </w:rPr>
        <w:t>hallways and passages with at least thirty</w:t>
      </w:r>
      <w:r w:rsidRPr="00761722">
        <w:rPr>
          <w:color w:val="000000" w:themeColor="text1"/>
          <w:u w:color="000000" w:themeColor="text1"/>
        </w:rPr>
        <w:noBreakHyphen/>
        <w:t>six inches of clear width;</w:t>
      </w:r>
    </w:p>
    <w:p w:rsidRPr="00761722" w:rsidR="000F447D" w:rsidP="000F447D" w:rsidRDefault="000F447D" w14:paraId="67DE574E"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5_lv3_c9d5d3363" w:id="22"/>
      <w:r w:rsidRPr="00761722">
        <w:rPr>
          <w:color w:val="000000" w:themeColor="text1"/>
          <w:u w:color="000000" w:themeColor="text1"/>
        </w:rPr>
        <w:t>(</w:t>
      </w:r>
      <w:bookmarkEnd w:id="22"/>
      <w:r w:rsidRPr="00761722">
        <w:rPr>
          <w:color w:val="000000" w:themeColor="text1"/>
          <w:u w:color="000000" w:themeColor="text1"/>
        </w:rPr>
        <w:t>5)</w:t>
      </w:r>
      <w:r w:rsidRPr="00761722">
        <w:t xml:space="preserve"> </w:t>
      </w:r>
      <w:r w:rsidRPr="00761722">
        <w:rPr>
          <w:color w:val="000000" w:themeColor="text1"/>
          <w:u w:color="000000" w:themeColor="text1"/>
        </w:rPr>
        <w:t>accessible light switches, electrical outlets, and environmental controls;</w:t>
      </w:r>
    </w:p>
    <w:p w:rsidRPr="00761722" w:rsidR="000F447D" w:rsidP="000F447D" w:rsidRDefault="000F447D" w14:paraId="57C83BE1"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6_lv3_1a88098c9" w:id="23"/>
      <w:r w:rsidRPr="00761722">
        <w:rPr>
          <w:color w:val="000000" w:themeColor="text1"/>
          <w:u w:color="000000" w:themeColor="text1"/>
        </w:rPr>
        <w:t>(</w:t>
      </w:r>
      <w:bookmarkEnd w:id="23"/>
      <w:r w:rsidRPr="00761722">
        <w:rPr>
          <w:color w:val="000000" w:themeColor="text1"/>
          <w:u w:color="000000" w:themeColor="text1"/>
        </w:rPr>
        <w:t>6)</w:t>
      </w:r>
      <w:r w:rsidRPr="00761722">
        <w:t xml:space="preserve"> </w:t>
      </w:r>
      <w:r w:rsidRPr="00761722">
        <w:rPr>
          <w:color w:val="000000" w:themeColor="text1"/>
          <w:u w:color="000000" w:themeColor="text1"/>
        </w:rPr>
        <w:t>accessible bathroom;</w:t>
      </w:r>
    </w:p>
    <w:p w:rsidRPr="00761722" w:rsidR="000F447D" w:rsidP="000F447D" w:rsidRDefault="000F447D" w14:paraId="37ADF9D6"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7_lv3_897e63ccb" w:id="24"/>
      <w:r w:rsidRPr="00761722">
        <w:rPr>
          <w:color w:val="000000" w:themeColor="text1"/>
          <w:u w:color="000000" w:themeColor="text1"/>
        </w:rPr>
        <w:t>(</w:t>
      </w:r>
      <w:bookmarkEnd w:id="24"/>
      <w:r w:rsidRPr="00761722">
        <w:rPr>
          <w:color w:val="000000" w:themeColor="text1"/>
          <w:u w:color="000000" w:themeColor="text1"/>
        </w:rPr>
        <w:t>7)</w:t>
      </w:r>
      <w:r w:rsidRPr="00761722">
        <w:t xml:space="preserve"> </w:t>
      </w:r>
      <w:r w:rsidRPr="00761722">
        <w:rPr>
          <w:color w:val="000000" w:themeColor="text1"/>
          <w:u w:color="000000" w:themeColor="text1"/>
        </w:rPr>
        <w:t>accessible and useable kitchen facilities;</w:t>
      </w:r>
    </w:p>
    <w:p w:rsidRPr="00761722" w:rsidR="000F447D" w:rsidP="000F447D" w:rsidRDefault="000F447D" w14:paraId="28564B14"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8_lv3_4217b08f6" w:id="25"/>
      <w:r w:rsidRPr="00761722">
        <w:rPr>
          <w:color w:val="000000" w:themeColor="text1"/>
          <w:u w:color="000000" w:themeColor="text1"/>
        </w:rPr>
        <w:t>(</w:t>
      </w:r>
      <w:bookmarkEnd w:id="25"/>
      <w:r w:rsidRPr="00761722">
        <w:rPr>
          <w:color w:val="000000" w:themeColor="text1"/>
          <w:u w:color="000000" w:themeColor="text1"/>
        </w:rPr>
        <w:t>8)</w:t>
      </w:r>
      <w:r w:rsidRPr="00761722">
        <w:t xml:space="preserve"> </w:t>
      </w:r>
      <w:r w:rsidRPr="00761722">
        <w:rPr>
          <w:color w:val="000000" w:themeColor="text1"/>
          <w:u w:color="000000" w:themeColor="text1"/>
        </w:rPr>
        <w:t>chair lifts;</w:t>
      </w:r>
    </w:p>
    <w:p w:rsidRPr="00761722" w:rsidR="000F447D" w:rsidP="000F447D" w:rsidRDefault="000F447D" w14:paraId="118B0AEC"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9_lv3_aa36fbb91" w:id="26"/>
      <w:r w:rsidRPr="00761722">
        <w:rPr>
          <w:color w:val="000000" w:themeColor="text1"/>
          <w:u w:color="000000" w:themeColor="text1"/>
        </w:rPr>
        <w:t>(</w:t>
      </w:r>
      <w:bookmarkEnd w:id="26"/>
      <w:r w:rsidRPr="00761722">
        <w:rPr>
          <w:color w:val="000000" w:themeColor="text1"/>
          <w:u w:color="000000" w:themeColor="text1"/>
        </w:rPr>
        <w:t>9)</w:t>
      </w:r>
      <w:r w:rsidRPr="00761722">
        <w:t xml:space="preserve"> </w:t>
      </w:r>
      <w:r w:rsidRPr="00761722">
        <w:rPr>
          <w:color w:val="000000" w:themeColor="text1"/>
          <w:u w:color="000000" w:themeColor="text1"/>
        </w:rPr>
        <w:t>sensory modifications; and</w:t>
      </w:r>
    </w:p>
    <w:p w:rsidRPr="00761722" w:rsidR="000F447D" w:rsidP="000F447D" w:rsidRDefault="000F447D" w14:paraId="1E2EAC3F" w14:textId="77777777">
      <w:pPr>
        <w:pStyle w:val="scnewcodesection"/>
      </w:pPr>
      <w:r w:rsidRPr="00761722">
        <w:rPr>
          <w:color w:val="000000" w:themeColor="text1"/>
          <w:u w:color="000000" w:themeColor="text1"/>
        </w:rPr>
        <w:tab/>
      </w:r>
      <w:r w:rsidRPr="00761722">
        <w:rPr>
          <w:color w:val="000000" w:themeColor="text1"/>
          <w:u w:color="000000" w:themeColor="text1"/>
        </w:rPr>
        <w:tab/>
      </w:r>
      <w:bookmarkStart w:name="ss_T12C6N3810S10_lv3_aea59926a" w:id="27"/>
      <w:r w:rsidRPr="00761722">
        <w:rPr>
          <w:color w:val="000000" w:themeColor="text1"/>
          <w:u w:color="000000" w:themeColor="text1"/>
        </w:rPr>
        <w:t>(</w:t>
      </w:r>
      <w:bookmarkEnd w:id="27"/>
      <w:r w:rsidRPr="00761722">
        <w:rPr>
          <w:color w:val="000000" w:themeColor="text1"/>
          <w:u w:color="000000" w:themeColor="text1"/>
        </w:rPr>
        <w:t>10)</w:t>
      </w:r>
      <w:r w:rsidRPr="00761722">
        <w:t xml:space="preserve"> </w:t>
      </w:r>
      <w:r w:rsidRPr="00761722">
        <w:rPr>
          <w:color w:val="000000" w:themeColor="text1"/>
          <w:u w:color="000000" w:themeColor="text1"/>
        </w:rPr>
        <w:t>elevators.</w:t>
      </w:r>
    </w:p>
    <w:p w:rsidRPr="00761722" w:rsidR="000F447D" w:rsidP="000F447D" w:rsidRDefault="000F447D" w14:paraId="7F929C50" w14:textId="77777777">
      <w:pPr>
        <w:pStyle w:val="scnewcodesection"/>
      </w:pPr>
      <w:r w:rsidRPr="00761722">
        <w:rPr>
          <w:color w:val="000000" w:themeColor="text1"/>
          <w:u w:color="000000" w:themeColor="text1"/>
        </w:rPr>
        <w:tab/>
      </w:r>
      <w:bookmarkStart w:name="ss_T12C6N3810SF_lv2_376866a39" w:id="28"/>
      <w:r w:rsidRPr="00761722">
        <w:rPr>
          <w:color w:val="000000" w:themeColor="text1"/>
          <w:u w:color="000000" w:themeColor="text1"/>
        </w:rPr>
        <w:t>(</w:t>
      </w:r>
      <w:bookmarkEnd w:id="28"/>
      <w:r w:rsidRPr="00761722">
        <w:rPr>
          <w:color w:val="000000" w:themeColor="text1"/>
          <w:u w:color="000000" w:themeColor="text1"/>
        </w:rPr>
        <w:t>F)</w:t>
      </w:r>
      <w:r w:rsidRPr="00761722">
        <w:t xml:space="preserve"> </w:t>
      </w:r>
      <w:r w:rsidRPr="00761722">
        <w:rPr>
          <w:color w:val="000000" w:themeColor="text1"/>
          <w:u w:color="000000" w:themeColor="text1"/>
        </w:rPr>
        <w:t>Eligible taxpayers shall apply for the credit by making application to the department. The department shall issue a certification for an approved application to the taxpayer. The credit must be claimed by means of a form prescribed by the department containing that information required by the department for the accurate and efficient administration of this credit. The taxpayer shall attach the certification to the applicable income tax return. The total amount of tax credits granted pursuant to this section for any income year may not exceed one million dollars.</w:t>
      </w:r>
    </w:p>
    <w:p w:rsidRPr="00761722" w:rsidR="000F447D" w:rsidP="000F447D" w:rsidRDefault="000F447D" w14:paraId="3683A871" w14:textId="7A7EE9F9">
      <w:pPr>
        <w:pStyle w:val="scnewcodesection"/>
      </w:pPr>
      <w:r w:rsidRPr="00761722">
        <w:rPr>
          <w:color w:val="000000" w:themeColor="text1"/>
          <w:u w:color="000000" w:themeColor="text1"/>
        </w:rPr>
        <w:tab/>
      </w:r>
      <w:bookmarkStart w:name="ss_T12C6N3810SG_lv2_5e6f4b516" w:id="29"/>
      <w:r w:rsidRPr="00761722">
        <w:rPr>
          <w:color w:val="000000" w:themeColor="text1"/>
          <w:u w:color="000000" w:themeColor="text1"/>
        </w:rPr>
        <w:t>(</w:t>
      </w:r>
      <w:bookmarkEnd w:id="29"/>
      <w:r w:rsidRPr="00761722">
        <w:rPr>
          <w:color w:val="000000" w:themeColor="text1"/>
          <w:u w:color="000000" w:themeColor="text1"/>
        </w:rPr>
        <w:t>G)</w:t>
      </w:r>
      <w:r w:rsidRPr="00761722">
        <w:t xml:space="preserve"> </w:t>
      </w:r>
      <w:r w:rsidRPr="00761722">
        <w:rPr>
          <w:color w:val="000000" w:themeColor="text1"/>
          <w:u w:color="000000" w:themeColor="text1"/>
        </w:rPr>
        <w:t>The department shall track all credit certifications issued pursuant to this section in each income tax year. When the amount of credit certificates issued equals one million dollars in the income tax year, the department shall cease issuing credit certificates in that year. Until the one</w:t>
      </w:r>
      <w:r w:rsidR="00551443">
        <w:rPr>
          <w:color w:val="000000" w:themeColor="text1"/>
          <w:u w:color="000000" w:themeColor="text1"/>
        </w:rPr>
        <w:t>‑</w:t>
      </w:r>
      <w:r w:rsidRPr="00761722">
        <w:rPr>
          <w:color w:val="000000" w:themeColor="text1"/>
          <w:u w:color="000000" w:themeColor="text1"/>
        </w:rPr>
        <w:t>million</w:t>
      </w:r>
      <w:r w:rsidR="00551443">
        <w:rPr>
          <w:color w:val="000000" w:themeColor="text1"/>
          <w:u w:color="000000" w:themeColor="text1"/>
        </w:rPr>
        <w:t>‑</w:t>
      </w:r>
      <w:r w:rsidRPr="00761722">
        <w:rPr>
          <w:color w:val="000000" w:themeColor="text1"/>
          <w:u w:color="000000" w:themeColor="text1"/>
        </w:rPr>
        <w:t xml:space="preserve">dollar limit </w:t>
      </w:r>
      <w:r w:rsidRPr="00761722">
        <w:rPr>
          <w:color w:val="000000" w:themeColor="text1"/>
          <w:u w:color="000000" w:themeColor="text1"/>
        </w:rPr>
        <w:lastRenderedPageBreak/>
        <w:t>is reached, the certificates must be issued in the order of request.</w:t>
      </w:r>
    </w:p>
    <w:p w:rsidRPr="00761722" w:rsidR="000F447D" w:rsidP="000F447D" w:rsidRDefault="000F447D" w14:paraId="73E1C8CB" w14:textId="77777777">
      <w:pPr>
        <w:pStyle w:val="scnewcodesection"/>
      </w:pPr>
      <w:r w:rsidRPr="00761722">
        <w:rPr>
          <w:color w:val="000000" w:themeColor="text1"/>
          <w:u w:color="000000" w:themeColor="text1"/>
        </w:rPr>
        <w:tab/>
      </w:r>
      <w:bookmarkStart w:name="ss_T12C6N3810SH_lv2_46f176884" w:id="30"/>
      <w:r w:rsidRPr="00761722">
        <w:rPr>
          <w:color w:val="000000" w:themeColor="text1"/>
          <w:u w:color="000000" w:themeColor="text1"/>
        </w:rPr>
        <w:t>(</w:t>
      </w:r>
      <w:bookmarkEnd w:id="30"/>
      <w:r w:rsidRPr="00761722">
        <w:rPr>
          <w:color w:val="000000" w:themeColor="text1"/>
          <w:u w:color="000000" w:themeColor="text1"/>
        </w:rPr>
        <w:t>H)</w:t>
      </w:r>
      <w:r w:rsidRPr="00761722">
        <w:t xml:space="preserve"> </w:t>
      </w:r>
      <w:r w:rsidRPr="00761722">
        <w:rPr>
          <w:color w:val="000000" w:themeColor="text1"/>
          <w:u w:color="000000" w:themeColor="text1"/>
        </w:rPr>
        <w:t>A credit granted to a partnership, limited liability company, or electing small business corporation is allocated to the individual partners, members, or shareholders, respectively, in proportion to their ownership or interest in the business entities.</w:t>
      </w:r>
    </w:p>
    <w:p w:rsidRPr="00761722" w:rsidR="000F447D" w:rsidP="000F447D" w:rsidRDefault="000F447D" w14:paraId="37E11A78" w14:textId="77777777">
      <w:pPr>
        <w:pStyle w:val="scemptyline"/>
      </w:pPr>
    </w:p>
    <w:p w:rsidR="000F447D" w:rsidP="000F447D" w:rsidRDefault="000F447D" w14:paraId="51C137D9" w14:textId="2C155177">
      <w:pPr>
        <w:pStyle w:val="scnoncodifiedsection"/>
      </w:pPr>
      <w:bookmarkStart w:name="eff_date_section" w:id="31"/>
      <w:bookmarkStart w:name="bs_num_3_lastsection" w:id="32"/>
      <w:bookmarkEnd w:id="31"/>
      <w:r w:rsidRPr="00761722">
        <w:rPr>
          <w:color w:val="000000" w:themeColor="text1"/>
          <w:u w:color="000000" w:themeColor="text1"/>
        </w:rPr>
        <w:t>S</w:t>
      </w:r>
      <w:bookmarkEnd w:id="32"/>
      <w:r>
        <w:t xml:space="preserve">ECTION </w:t>
      </w:r>
      <w:r w:rsidRPr="00761722">
        <w:rPr>
          <w:color w:val="000000" w:themeColor="text1"/>
          <w:u w:color="000000" w:themeColor="text1"/>
        </w:rPr>
        <w:t>3.</w:t>
      </w:r>
      <w:r w:rsidRPr="00761722">
        <w:rPr>
          <w:color w:val="000000" w:themeColor="text1"/>
          <w:u w:color="000000" w:themeColor="text1"/>
        </w:rPr>
        <w:tab/>
        <w:t>This act takes effect upon approval of the Governor and applies for purchases or retrofits made after July 1, 202</w:t>
      </w:r>
      <w:r w:rsidR="00B747A4">
        <w:rPr>
          <w:color w:val="000000" w:themeColor="text1"/>
          <w:u w:color="000000" w:themeColor="text1"/>
        </w:rPr>
        <w:t>3</w:t>
      </w:r>
      <w:r w:rsidRPr="00761722">
        <w:rPr>
          <w:color w:val="000000" w:themeColor="text1"/>
          <w:u w:color="000000" w:themeColor="text1"/>
        </w:rPr>
        <w:t>.</w:t>
      </w:r>
    </w:p>
    <w:p w:rsidRPr="00DF3B44" w:rsidR="005516F6" w:rsidP="009E4191" w:rsidRDefault="000F447D" w14:paraId="7389F665" w14:textId="3C3AA1E0">
      <w:pPr>
        <w:pStyle w:val="scbillendxx"/>
      </w:pPr>
      <w:r>
        <w:noBreakHyphen/>
      </w:r>
      <w:r>
        <w:noBreakHyphen/>
      </w:r>
      <w:r>
        <w:noBreakHyphen/>
      </w:r>
      <w:r>
        <w:noBreakHyphen/>
        <w:t>XX</w:t>
      </w:r>
      <w:r>
        <w:noBreakHyphen/>
      </w:r>
      <w:r>
        <w:noBreakHyphen/>
      </w:r>
      <w:r>
        <w:noBreakHyphen/>
      </w:r>
      <w:r>
        <w:noBreakHyphen/>
      </w:r>
    </w:p>
    <w:sectPr w:rsidRPr="00DF3B44" w:rsidR="005516F6" w:rsidSect="003A28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795E8A" w:rsidR="00685035" w:rsidRPr="007B4AF7" w:rsidRDefault="003A28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7D5A">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7D5A">
              <w:rPr>
                <w:noProof/>
              </w:rPr>
              <w:t>LC-0177DG23.docx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8A"/>
    <w:rsid w:val="00012912"/>
    <w:rsid w:val="00017FB0"/>
    <w:rsid w:val="00020B5D"/>
    <w:rsid w:val="00026421"/>
    <w:rsid w:val="00030409"/>
    <w:rsid w:val="00037F04"/>
    <w:rsid w:val="000404BF"/>
    <w:rsid w:val="00044B84"/>
    <w:rsid w:val="000479D0"/>
    <w:rsid w:val="00056724"/>
    <w:rsid w:val="0006464F"/>
    <w:rsid w:val="00066B54"/>
    <w:rsid w:val="00072FCD"/>
    <w:rsid w:val="00074A4F"/>
    <w:rsid w:val="000969B4"/>
    <w:rsid w:val="000A3C25"/>
    <w:rsid w:val="000B4C02"/>
    <w:rsid w:val="000B5B4A"/>
    <w:rsid w:val="000B7FE1"/>
    <w:rsid w:val="000C3E88"/>
    <w:rsid w:val="000C46B9"/>
    <w:rsid w:val="000C58E4"/>
    <w:rsid w:val="000C6F9A"/>
    <w:rsid w:val="000D2F44"/>
    <w:rsid w:val="000D33E4"/>
    <w:rsid w:val="000E578A"/>
    <w:rsid w:val="000F2250"/>
    <w:rsid w:val="000F447D"/>
    <w:rsid w:val="0010329A"/>
    <w:rsid w:val="001164F9"/>
    <w:rsid w:val="0011719C"/>
    <w:rsid w:val="00140049"/>
    <w:rsid w:val="00171601"/>
    <w:rsid w:val="001730EB"/>
    <w:rsid w:val="00173276"/>
    <w:rsid w:val="0019025B"/>
    <w:rsid w:val="00192AF7"/>
    <w:rsid w:val="00197366"/>
    <w:rsid w:val="001A136C"/>
    <w:rsid w:val="001B6DA2"/>
    <w:rsid w:val="001C25EC"/>
    <w:rsid w:val="001E4E3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82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ED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443"/>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47A4"/>
    <w:rsid w:val="00B7592C"/>
    <w:rsid w:val="00B809D3"/>
    <w:rsid w:val="00B84B66"/>
    <w:rsid w:val="00B85475"/>
    <w:rsid w:val="00B9090A"/>
    <w:rsid w:val="00B92196"/>
    <w:rsid w:val="00B9228D"/>
    <w:rsid w:val="00B929EC"/>
    <w:rsid w:val="00BA6F34"/>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4393"/>
    <w:rsid w:val="00CB701D"/>
    <w:rsid w:val="00CB7D5A"/>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65&amp;session=125&amp;summary=B" TargetMode="External" Id="R2af2b67a410c4705" /><Relationship Type="http://schemas.openxmlformats.org/officeDocument/2006/relationships/hyperlink" Target="https://www.scstatehouse.gov/sess125_2023-2024/prever/4065_20230301.docx" TargetMode="External" Id="R71e49f838ea740e0" /><Relationship Type="http://schemas.openxmlformats.org/officeDocument/2006/relationships/hyperlink" Target="h:\hj\20230301.docx" TargetMode="External" Id="R6f10e50553eb4388" /><Relationship Type="http://schemas.openxmlformats.org/officeDocument/2006/relationships/hyperlink" Target="h:\hj\20230301.docx" TargetMode="External" Id="R69b8e8fabb4e4c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7a00fcca-50f3-47ba-b9e1-5d70aa0da223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28457f6d-71b9-4bfd-a536-0182a13b9434</T_BILL_REQUEST_REQUEST>
  <T_BILL_R_ORIGINALDRAFT>0c5fe5c5-ab2c-4a31-b66b-5938722ba690</T_BILL_R_ORIGINALDRAFT>
  <T_BILL_SPONSOR_SPONSOR>45b0864e-2b46-43e1-a00f-5e4a135e626c</T_BILL_SPONSOR_SPONSOR>
  <T_BILL_T_ACTNUMBER>None</T_BILL_T_ACTNUMBER>
  <T_BILL_T_BILLNAME>[4065]</T_BILL_T_BILLNAME>
  <T_BILL_T_BILLNUMBER>4065</T_BILL_T_BILLNUMBER>
  <T_BILL_T_BILLTITLE>TO AMEND THE SOUTH CAROLINA CODE OF LAWS BY ENACTING THE “LIVABLE HOMES TAX CREDIT ACT”; AND BY ADDING SECTION 12‑6‑3810 SO AS TO 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T_BILL_T_BILLTITLE>
  <T_BILL_T_CHAMBER>house</T_BILL_T_CHAMBER>
  <T_BILL_T_FILENAME> </T_BILL_T_FILENAME>
  <T_BILL_T_LEGTYPE>bill_statewide</T_BILL_T_LEGTYPE>
  <T_BILL_T_RATNUMBER>None</T_BILL_T_RATNUMBER>
  <T_BILL_T_SECTIONS>[{"SectionUUID":"40b2a90a-8395-4078-a9b5-7e696446e8dd","SectionName":"code_section","SectionNumber":1,"SectionType":"code_section","CodeSections":[],"TitleText":"by enacting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Level":1,"Identity":"T12C6N3810S1","SubSectionBookmarkName":"ss_T12C6N3810S1_lv1_e1e74239a","IsNewSubSection":false},{"Level":1,"Identity":"T12C6N3810S2","SubSectionBookmarkName":"ss_T12C6N3810S2_lv1_96c34e704","IsNewSubSection":false},{"Level":2,"Identity":"T12C6N3810SB","SubSectionBookmarkName":"ss_T12C6N3810SB_lv2_c52be729f","IsNewSubSection":false},{"Level":2,"Identity":"T12C6N3810SC","SubSectionBookmarkName":"ss_T12C6N3810SC_lv2_f234e06af","IsNewSubSection":false},{"Level":2,"Identity":"T12C6N3810SD","SubSectionBookmarkName":"ss_T12C6N3810SD_lv2_2659909d8","IsNewSubSection":false},{"Level":3,"Identity":"T12C6N3810S1","SubSectionBookmarkName":"ss_T12C6N3810S1_lv3_7a80f6c3f","IsNewSubSection":false},{"Level":3,"Identity":"T12C6N3810S2","SubSectionBookmarkName":"ss_T12C6N3810S2_lv3_ff7fe986b","IsNewSubSection":false},{"Level":4,"Identity":"T12C6N3810Sa","SubSectionBookmarkName":"ss_T12C6N3810Sa_lv4_0a8bcd1e0","IsNewSubSection":false},{"Level":4,"Identity":"T12C6N3810Sb","SubSectionBookmarkName":"ss_T12C6N3810Sb_lv4_aab2874a2","IsNewSubSection":false},{"Level":4,"Identity":"T12C6N3810Sc","SubSectionBookmarkName":"ss_T12C6N3810Sc_lv4_4a660cd81","IsNewSubSection":false},{"Level":3,"Identity":"T12C6N3810S3","SubSectionBookmarkName":"ss_T12C6N3810S3_lv3_b5e215376","IsNewSubSection":false},{"Level":2,"Identity":"T12C6N3810SE","SubSectionBookmarkName":"ss_T12C6N3810SE_lv2_2f4b4f499","IsNewSubSection":false},{"Level":3,"Identity":"T12C6N3810S1","SubSectionBookmarkName":"ss_T12C6N3810S1_lv3_b7050401f","IsNewSubSection":false},{"Level":3,"Identity":"T12C6N3810S2","SubSectionBookmarkName":"ss_T12C6N3810S2_lv3_38522850d","IsNewSubSection":false},{"Level":3,"Identity":"T12C6N3810S3","SubSectionBookmarkName":"ss_T12C6N3810S3_lv3_f1f5fcd77","IsNewSubSection":false},{"Level":3,"Identity":"T12C6N3810S4","SubSectionBookmarkName":"ss_T12C6N3810S4_lv3_d9ceda970","IsNewSubSection":false},{"Level":3,"Identity":"T12C6N3810S5","SubSectionBookmarkName":"ss_T12C6N3810S5_lv3_c9d5d3363","IsNewSubSection":false},{"Level":3,"Identity":"T12C6N3810S6","SubSectionBookmarkName":"ss_T12C6N3810S6_lv3_1a88098c9","IsNewSubSection":false},{"Level":3,"Identity":"T12C6N3810S7","SubSectionBookmarkName":"ss_T12C6N3810S7_lv3_897e63ccb","IsNewSubSection":false},{"Level":3,"Identity":"T12C6N3810S8","SubSectionBookmarkName":"ss_T12C6N3810S8_lv3_4217b08f6","IsNewSubSection":false},{"Level":3,"Identity":"T12C6N3810S9","SubSectionBookmarkName":"ss_T12C6N3810S9_lv3_aa36fbb91","IsNewSubSection":false},{"Level":3,"Identity":"T12C6N3810S10","SubSectionBookmarkName":"ss_T12C6N3810S10_lv3_aea59926a","IsNewSubSection":false},{"Level":2,"Identity":"T12C6N3810SF","SubSectionBookmarkName":"ss_T12C6N3810SF_lv2_376866a39","IsNewSubSection":false},{"Level":2,"Identity":"T12C6N3810SG","SubSectionBookmarkName":"ss_T12C6N3810SG_lv2_5e6f4b516","IsNewSubSection":false},{"Level":2,"Identity":"T12C6N3810SH","SubSectionBookmarkName":"ss_T12C6N3810SH_lv2_46f176884","IsNewSubSection":false}],"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_BILL_T_SECTIONS>
  <T_BILL_T_SECTIONSHISTORY>[{"Id":2,"SectionsList":[{"SectionUUID":"40b2a90a-8395-4078-a9b5-7e696446e8dd","SectionName":"code_section","SectionNumber":1,"SectionType":"code_section","CodeSections":[],"TitleText":"by enacting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imestamp":"2023-02-07T09:56:06.0574391-05:00","Username":null},{"Id":1,"SectionsList":[{"SectionUUID":"40b2a90a-8395-4078-a9b5-7e696446e8dd","SectionName":"code_section","SectionNumber":1,"SectionType":"code_section","CodeSections":[],"TitleText":"SO AS TO ENACT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imestamp":"2023-02-07T09:55:28.367061-05:00","Username":null},{"Id":3,"SectionsList":[{"SectionUUID":"40b2a90a-8395-4078-a9b5-7e696446e8dd","SectionName":"code_section","SectionNumber":1,"SectionType":"code_section","CodeSections":[],"TitleText":"by enacting THE “LIVABLE HOMES TAX CREDIT ACT”","DisableControls":false,"Deleted":false,"RepealItems":[],"SectionBookmarkName":"bs_num_1_9240b1a05"},{"SectionUUID":"ecc87ef3-b518-4590-b79f-be3ad74a0bd3","SectionName":"code_section","SectionNumber":2,"SectionType":"code_section","CodeSections":[{"CodeSectionBookmarkName":"ns_T12C6N3810_08fce9594","IsConstitutionSection":false,"Identity":"12-6-3810","IsNew":true,"SubSections":[{"Level":1,"Identity":"T12C6N3810S1","SubSectionBookmarkName":"ss_T12C6N3810S1_lv1_e1e74239a","IsNewSubSection":false},{"Level":1,"Identity":"T12C6N3810S2","SubSectionBookmarkName":"ss_T12C6N3810S2_lv1_96c34e704","IsNewSubSection":false},{"Level":2,"Identity":"T12C6N3810SB","SubSectionBookmarkName":"ss_T12C6N3810SB_lv2_c52be729f","IsNewSubSection":false},{"Level":2,"Identity":"T12C6N3810SC","SubSectionBookmarkName":"ss_T12C6N3810SC_lv2_f234e06af","IsNewSubSection":false},{"Level":2,"Identity":"T12C6N3810SD","SubSectionBookmarkName":"ss_T12C6N3810SD_lv2_2659909d8","IsNewSubSection":false},{"Level":3,"Identity":"T12C6N3810S1","SubSectionBookmarkName":"ss_T12C6N3810S1_lv3_7a80f6c3f","IsNewSubSection":false},{"Level":3,"Identity":"T12C6N3810S2","SubSectionBookmarkName":"ss_T12C6N3810S2_lv3_ff7fe986b","IsNewSubSection":false},{"Level":4,"Identity":"T12C6N3810Sa","SubSectionBookmarkName":"ss_T12C6N3810Sa_lv4_0a8bcd1e0","IsNewSubSection":false},{"Level":4,"Identity":"T12C6N3810Sb","SubSectionBookmarkName":"ss_T12C6N3810Sb_lv4_aab2874a2","IsNewSubSection":false},{"Level":4,"Identity":"T12C6N3810Sc","SubSectionBookmarkName":"ss_T12C6N3810Sc_lv4_4a660cd81","IsNewSubSection":false},{"Level":3,"Identity":"T12C6N3810S3","SubSectionBookmarkName":"ss_T12C6N3810S3_lv3_b5e215376","IsNewSubSection":false},{"Level":2,"Identity":"T12C6N3810SE","SubSectionBookmarkName":"ss_T12C6N3810SE_lv2_2f4b4f499","IsNewSubSection":false},{"Level":3,"Identity":"T12C6N3810S1","SubSectionBookmarkName":"ss_T12C6N3810S1_lv3_b7050401f","IsNewSubSection":false},{"Level":3,"Identity":"T12C6N3810S2","SubSectionBookmarkName":"ss_T12C6N3810S2_lv3_38522850d","IsNewSubSection":false},{"Level":3,"Identity":"T12C6N3810S3","SubSectionBookmarkName":"ss_T12C6N3810S3_lv3_f1f5fcd77","IsNewSubSection":false},{"Level":3,"Identity":"T12C6N3810S4","SubSectionBookmarkName":"ss_T12C6N3810S4_lv3_d9ceda970","IsNewSubSection":false},{"Level":3,"Identity":"T12C6N3810S5","SubSectionBookmarkName":"ss_T12C6N3810S5_lv3_c9d5d3363","IsNewSubSection":false},{"Level":3,"Identity":"T12C6N3810S6","SubSectionBookmarkName":"ss_T12C6N3810S6_lv3_1a88098c9","IsNewSubSection":false},{"Level":3,"Identity":"T12C6N3810S7","SubSectionBookmarkName":"ss_T12C6N3810S7_lv3_897e63ccb","IsNewSubSection":false},{"Level":3,"Identity":"T12C6N3810S8","SubSectionBookmarkName":"ss_T12C6N3810S8_lv3_4217b08f6","IsNewSubSection":false},{"Level":3,"Identity":"T12C6N3810S9","SubSectionBookmarkName":"ss_T12C6N3810S9_lv3_aa36fbb91","IsNewSubSection":false},{"Level":3,"Identity":"T12C6N3810S10","SubSectionBookmarkName":"ss_T12C6N3810S10_lv3_aea59926a","IsNewSubSection":false},{"Level":2,"Identity":"T12C6N3810SF","SubSectionBookmarkName":"ss_T12C6N3810SF_lv2_376866a39","IsNewSubSection":false},{"Level":2,"Identity":"T12C6N3810SG","SubSectionBookmarkName":"ss_T12C6N3810SG_lv2_5e6f4b516","IsNewSubSection":false},{"Level":2,"Identity":"T12C6N3810SH","SubSectionBookmarkName":"ss_T12C6N3810SH_lv2_46f176884","IsNewSubSection":false}],"TitleRelatedTo":"","TitleSoAsTo":"PROVIDE FOR AN INDIVIDUAL INCOME TAX CREDIT TO AN INDIVIDUAL WHO PURCHASES A NEW RESIDENCE OR RETROFITS AN EXISTING RESIDENCE, PROVIDED THAT THE NEW RESIDENCE OR THE RETROFITTING OF THE EXISTING RESIDENCE IS DESIGNED TO IMPROVE ACCESSIBILITY, TO PROVIDE A CUMULATIVE TOTAL FOR WHICH THE CREDIT MAY NOT EXCEED, TO PROVIDE CERTAIN DESIGN ELEMENT REQUIREMENTS AND ELIGIBLE COSTS, AND TO PROVIDE A MAXIMUM AMOUNT OF TAX CREDITS THAT MAY BE GRANTED IN EACH INCOME TAX YEAR","Deleted":false}],"TitleText":"","DisableControls":false,"Deleted":false,"RepealItems":[],"SectionBookmarkName":"bs_num_2_dd9f3de2d"},{"SectionUUID":"218f7228-f63c-434c-a5ad-d7eb8f70f8b7","SectionName":"standard_eff_date_section","SectionNumber":3,"SectionType":"drafting_clause","CodeSections":[],"TitleText":"","DisableControls":false,"Deleted":false,"RepealItems":[],"SectionBookmarkName":"bs_num_3_lastsection"}],"Timestamp":"2023-02-07T09:58:09.8063784-05:00","Username":"victoriachandler@scsenate.gov"}]</T_BILL_T_SECTIONSHISTORY>
  <T_BILL_T_SUBJECT>Livable Homes Tax Credit</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842</Words>
  <Characters>4497</Characters>
  <Application>Microsoft Office Word</Application>
  <DocSecurity>0</DocSecurity>
  <Lines>88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cp:revision>
  <dcterms:created xsi:type="dcterms:W3CDTF">2023-03-01T13:41:00Z</dcterms:created>
  <dcterms:modified xsi:type="dcterms:W3CDTF">2023-03-01T13:42:00Z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