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 Newton, Pope and Guffey</w:t>
      </w:r>
    </w:p>
    <w:p>
      <w:pPr>
        <w:widowControl w:val="false"/>
        <w:spacing w:after="0"/>
        <w:jc w:val="left"/>
      </w:pPr>
      <w:r>
        <w:rPr>
          <w:rFonts w:ascii="Times New Roman"/>
          <w:sz w:val="22"/>
        </w:rPr>
        <w:t xml:space="preserve">Document Path: LC-0255DG24.docx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PARD grants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74bb182910b743ce">
        <w:r w:rsidRPr="00770434">
          <w:rPr>
            <w:rStyle w:val="Hyperlink"/>
          </w:rPr>
          <w:t>House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7dc37122932742bc">
        <w:r w:rsidRPr="00770434">
          <w:rPr>
            <w:rStyle w:val="Hyperlink"/>
          </w:rPr>
          <w:t>House Journal</w:t>
        </w:r>
        <w:r w:rsidRPr="00770434">
          <w:rPr>
            <w:rStyle w:val="Hyperlink"/>
          </w:rPr>
          <w:noBreakHyphen/>
          <w:t>page 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75a8e6db0cf48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aa91432f54f4e27">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bookmarkStart w:name="open_doc_here" w:id="0"/>
      <w:bookmarkEnd w:id="0"/>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A7F0E" w14:paraId="40FEFADA" w14:textId="086F89CD">
          <w:pPr>
            <w:pStyle w:val="scbilltitle"/>
            <w:tabs>
              <w:tab w:val="left" w:pos="2104"/>
            </w:tabs>
          </w:pPr>
          <w:r>
            <w:t>TO AMEND THE SOUTH CAROLINA CODE OF LAWS BY AMENDING SECTION 12‑21‑4200, RELATING TO THE DISBURSEMENT OF BINGO</w:t>
          </w:r>
          <w:r w:rsidR="004F67CD">
            <w:t xml:space="preserve"> tax</w:t>
          </w:r>
          <w:r>
            <w:t xml:space="preserve"> REVENUES, SO AS TO INCREASE THE PERCENTAGE THAT IS CREDITED</w:t>
          </w:r>
          <w:r w:rsidR="00FB4E04">
            <w:t xml:space="preserve"> to the</w:t>
          </w:r>
          <w:r>
            <w:t xml:space="preserve"> PARKS AND RECREATION DEVELOPMENT FUND AND DECREASE THE PERCENTAGE CREDITED TO THE GENERAL FUND; AND BY AMENDING SECTION 51‑23‑20, RELATING TO ALLOCATION OF PROCEEDS OF THE PARKS AND RECREATION FUND, SO AS TO INCREASE THE AMOUNT THAT MUST BE CREDITED TO EACH COUNTY.</w:t>
          </w:r>
        </w:p>
      </w:sdtContent>
    </w:sdt>
    <w:bookmarkStart w:name="at_efc025342"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aabadbc8" w:id="2"/>
      <w:r w:rsidRPr="0094541D">
        <w:t>B</w:t>
      </w:r>
      <w:bookmarkEnd w:id="2"/>
      <w:r w:rsidRPr="0094541D">
        <w:t>e it enacted by the General Assembly of the State of South Carolina:</w:t>
      </w:r>
    </w:p>
    <w:p w:rsidR="00707862" w:rsidP="00707862" w:rsidRDefault="00707862" w14:paraId="3DFC0A14" w14:textId="77777777">
      <w:pPr>
        <w:pStyle w:val="scemptyline"/>
      </w:pPr>
    </w:p>
    <w:p w:rsidR="00707862" w:rsidP="00707862" w:rsidRDefault="00707862" w14:paraId="48428420" w14:textId="04753557">
      <w:pPr>
        <w:pStyle w:val="scdirectionallanguage"/>
      </w:pPr>
      <w:bookmarkStart w:name="bs_num_1_e96680209" w:id="3"/>
      <w:r>
        <w:t>S</w:t>
      </w:r>
      <w:bookmarkEnd w:id="3"/>
      <w:r>
        <w:t>ECTION 1.</w:t>
      </w:r>
      <w:r>
        <w:tab/>
      </w:r>
      <w:bookmarkStart w:name="dl_139dec836" w:id="4"/>
      <w:r>
        <w:t>S</w:t>
      </w:r>
      <w:bookmarkEnd w:id="4"/>
      <w:r>
        <w:t>ection 12‑21‑4200(2) and (3) of the S.C. Code is amended to read:</w:t>
      </w:r>
    </w:p>
    <w:p w:rsidR="00707862" w:rsidP="00707862" w:rsidRDefault="00707862" w14:paraId="6168AAC6" w14:textId="77777777">
      <w:pPr>
        <w:pStyle w:val="scemptyline"/>
      </w:pPr>
    </w:p>
    <w:p w:rsidR="00707862" w:rsidP="00707862" w:rsidRDefault="00707862" w14:paraId="1BAE631B" w14:textId="41C92E3F">
      <w:pPr>
        <w:pStyle w:val="sccodifiedsection"/>
      </w:pPr>
      <w:bookmarkStart w:name="cs_T12C21N4200_a650ccfaf" w:id="5"/>
      <w:r>
        <w:tab/>
      </w:r>
      <w:bookmarkStart w:name="ss_T12C21N4200S2_lv1_4574856b7" w:id="6"/>
      <w:bookmarkEnd w:id="5"/>
      <w:r>
        <w:t>(</w:t>
      </w:r>
      <w:bookmarkEnd w:id="6"/>
      <w:r>
        <w:t xml:space="preserve">2) </w:t>
      </w:r>
      <w:r>
        <w:rPr>
          <w:rStyle w:val="scstrike"/>
        </w:rPr>
        <w:t>Twenty and eight‑tenths</w:t>
      </w:r>
      <w:r>
        <w:t xml:space="preserve"> </w:t>
      </w:r>
      <w:r>
        <w:rPr>
          <w:rStyle w:val="scinsert"/>
        </w:rPr>
        <w:t xml:space="preserve">Forty‑one and six‑tenths </w:t>
      </w:r>
      <w:r>
        <w:t>percent of the annual revenue derived from the provisions of Section 12‑21‑4190(2), or two and one‑half</w:t>
      </w:r>
      <w:r w:rsidR="004F67CD">
        <w:t xml:space="preserve"> </w:t>
      </w:r>
      <w:r>
        <w:t>million dollars each fiscal year, whichever is greater, must be deposited by the State Treasurer in a separate fund for the Department of Parks, Recreation and Tourism entitled the Parks and Recreation Development Fund. Interest earned by this fund must be added to it and credited to its various accounts in the same proportion that the annual allocation to each account bears to the total annual distribution to the fund. Unexpended amounts in the various fund accounts must be carried forward to succeeding fiscal years except as provided in Section 51‑23‑30. Fund proceeds must be distributed as provided in Chapter 23 of Title 51.</w:t>
      </w:r>
    </w:p>
    <w:p w:rsidR="00707862" w:rsidP="00707862" w:rsidRDefault="00707862" w14:paraId="7ECD06C9" w14:textId="1D0D700E">
      <w:pPr>
        <w:pStyle w:val="sccodifiedsection"/>
      </w:pPr>
      <w:r>
        <w:tab/>
      </w:r>
      <w:bookmarkStart w:name="ss_T12C21N4200S3_lv1_684f57065" w:id="7"/>
      <w:r>
        <w:t>(</w:t>
      </w:r>
      <w:bookmarkEnd w:id="7"/>
      <w:r>
        <w:t xml:space="preserve">3) Subject to the distribution in item (2), </w:t>
      </w:r>
      <w:r>
        <w:rPr>
          <w:rStyle w:val="scstrike"/>
        </w:rPr>
        <w:t>seventy‑two and fifteen one‑hundredths</w:t>
      </w:r>
      <w:r>
        <w:t xml:space="preserve"> </w:t>
      </w:r>
      <w:r>
        <w:rPr>
          <w:rStyle w:val="scinsert"/>
        </w:rPr>
        <w:t xml:space="preserve">fifty‑one and thirty‑five one‑hundredths </w:t>
      </w:r>
      <w:r>
        <w:t xml:space="preserve">percent of the annual revenue derived from the provisions of Section 12‑21‑4190(2) must be deposited with the State Treasurer and credited to the general fund, except that the first one hundred thirty‑one </w:t>
      </w:r>
      <w:proofErr w:type="spellStart"/>
      <w:r>
        <w:t>thousand</w:t>
      </w:r>
      <w:proofErr w:type="spellEnd"/>
      <w:r>
        <w:t xml:space="preserve"> of such revenues each year must be transferred to the Commission on Minority Affairs.</w:t>
      </w:r>
    </w:p>
    <w:p w:rsidR="00707862" w:rsidP="00707862" w:rsidRDefault="00707862" w14:paraId="0416052D" w14:textId="77777777">
      <w:pPr>
        <w:pStyle w:val="scemptyline"/>
      </w:pPr>
    </w:p>
    <w:p w:rsidR="00707862" w:rsidP="00707862" w:rsidRDefault="00707862" w14:paraId="74649C04" w14:textId="10065069">
      <w:pPr>
        <w:pStyle w:val="scdirectionallanguage"/>
      </w:pPr>
      <w:bookmarkStart w:name="bs_num_2_6e0b72bd2" w:id="8"/>
      <w:r>
        <w:t>S</w:t>
      </w:r>
      <w:bookmarkEnd w:id="8"/>
      <w:r>
        <w:t>ECTION 2.</w:t>
      </w:r>
      <w:r>
        <w:tab/>
      </w:r>
      <w:bookmarkStart w:name="dl_ea287b3b3" w:id="9"/>
      <w:r>
        <w:t>S</w:t>
      </w:r>
      <w:bookmarkEnd w:id="9"/>
      <w:r>
        <w:t>ection 51‑23‑20(1) of the S.C. Code is amended to read:</w:t>
      </w:r>
    </w:p>
    <w:p w:rsidR="00707862" w:rsidP="00707862" w:rsidRDefault="00707862" w14:paraId="7DB2C0EB" w14:textId="77777777">
      <w:pPr>
        <w:pStyle w:val="scemptyline"/>
      </w:pPr>
    </w:p>
    <w:p w:rsidR="00707862" w:rsidP="00707862" w:rsidRDefault="00707862" w14:paraId="04EC621C" w14:textId="45030FC8">
      <w:pPr>
        <w:pStyle w:val="sccodifiedsection"/>
      </w:pPr>
      <w:bookmarkStart w:name="cs_T51C23N20_666ebb117" w:id="10"/>
      <w:r>
        <w:tab/>
      </w:r>
      <w:bookmarkStart w:name="ss_T51C23N20S1_lv1_428301677" w:id="11"/>
      <w:bookmarkEnd w:id="10"/>
      <w:r>
        <w:t>(</w:t>
      </w:r>
      <w:bookmarkEnd w:id="11"/>
      <w:r>
        <w:t xml:space="preserve">1) </w:t>
      </w:r>
      <w:proofErr w:type="gramStart"/>
      <w:r>
        <w:rPr>
          <w:rStyle w:val="scstrike"/>
        </w:rPr>
        <w:t xml:space="preserve">Twenty </w:t>
      </w:r>
      <w:r>
        <w:rPr>
          <w:rStyle w:val="scinsert"/>
        </w:rPr>
        <w:t xml:space="preserve"> Thirty</w:t>
      </w:r>
      <w:proofErr w:type="gramEnd"/>
      <w:r>
        <w:rPr>
          <w:rStyle w:val="scinsert"/>
        </w:rPr>
        <w:t xml:space="preserve"> </w:t>
      </w:r>
      <w:r>
        <w:t>thousand dollars must be credited to the account of each county area.</w:t>
      </w:r>
    </w:p>
    <w:p w:rsidR="00707862" w:rsidP="00707862" w:rsidRDefault="00707862" w14:paraId="3EAA1307" w14:textId="77777777">
      <w:pPr>
        <w:pStyle w:val="scemptyline"/>
      </w:pPr>
    </w:p>
    <w:p w:rsidR="00707862" w:rsidP="00F17EC7" w:rsidRDefault="00707862" w14:paraId="6E100EF7" w14:textId="7EBF2720">
      <w:pPr>
        <w:pStyle w:val="scnoncodifiedsection"/>
      </w:pPr>
      <w:bookmarkStart w:name="bs_num_3_5f0360cfd" w:id="12"/>
      <w:bookmarkStart w:name="eff_date_section_b995dd64f" w:id="13"/>
      <w:r>
        <w:t>S</w:t>
      </w:r>
      <w:bookmarkEnd w:id="12"/>
      <w:r>
        <w:t>ECTION 3.</w:t>
      </w:r>
      <w:r>
        <w:tab/>
      </w:r>
      <w:bookmarkEnd w:id="13"/>
      <w:r w:rsidRPr="002B3B60" w:rsidR="00F17EC7">
        <w:t xml:space="preserve">This act takes effect on </w:t>
      </w:r>
      <w:r w:rsidR="002749D8">
        <w:t>July 1, 2024</w:t>
      </w:r>
      <w:r w:rsidR="00F17EC7">
        <w:t>.</w:t>
      </w:r>
    </w:p>
    <w:p w:rsidRPr="00DF3B44" w:rsidR="005516F6" w:rsidP="009E4191" w:rsidRDefault="007A10F1" w14:paraId="7389F665" w14:textId="1DA8C165">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60E2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9AE6D16" w:rsidR="00685035" w:rsidRPr="007B4AF7" w:rsidRDefault="00D22CF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12A98">
              <w:t>[4599]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12A9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0E29"/>
    <w:rsid w:val="000610B3"/>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054A1"/>
    <w:rsid w:val="002114C8"/>
    <w:rsid w:val="0021166F"/>
    <w:rsid w:val="00212A98"/>
    <w:rsid w:val="002162DF"/>
    <w:rsid w:val="00230038"/>
    <w:rsid w:val="00233975"/>
    <w:rsid w:val="00236D73"/>
    <w:rsid w:val="00257F60"/>
    <w:rsid w:val="002625EA"/>
    <w:rsid w:val="00264AE9"/>
    <w:rsid w:val="002749D8"/>
    <w:rsid w:val="00275AE6"/>
    <w:rsid w:val="002836D8"/>
    <w:rsid w:val="00284222"/>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217D"/>
    <w:rsid w:val="003A5F1C"/>
    <w:rsid w:val="003C3E2E"/>
    <w:rsid w:val="003D4A3C"/>
    <w:rsid w:val="003D55B2"/>
    <w:rsid w:val="003E0033"/>
    <w:rsid w:val="003E5452"/>
    <w:rsid w:val="003E7165"/>
    <w:rsid w:val="003E7FF6"/>
    <w:rsid w:val="004044C7"/>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67CD"/>
    <w:rsid w:val="005002ED"/>
    <w:rsid w:val="00500DBC"/>
    <w:rsid w:val="005102BE"/>
    <w:rsid w:val="00523F7F"/>
    <w:rsid w:val="00524D54"/>
    <w:rsid w:val="0054531B"/>
    <w:rsid w:val="00546C24"/>
    <w:rsid w:val="005476FF"/>
    <w:rsid w:val="005516F6"/>
    <w:rsid w:val="00552842"/>
    <w:rsid w:val="00554E89"/>
    <w:rsid w:val="00563B51"/>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7862"/>
    <w:rsid w:val="00711AA9"/>
    <w:rsid w:val="00722155"/>
    <w:rsid w:val="00737F19"/>
    <w:rsid w:val="00782BF8"/>
    <w:rsid w:val="00783C75"/>
    <w:rsid w:val="007849D9"/>
    <w:rsid w:val="00787433"/>
    <w:rsid w:val="007A10F1"/>
    <w:rsid w:val="007A3D50"/>
    <w:rsid w:val="007A7F0E"/>
    <w:rsid w:val="007B2D29"/>
    <w:rsid w:val="007B412F"/>
    <w:rsid w:val="007B4AF7"/>
    <w:rsid w:val="007B4DBF"/>
    <w:rsid w:val="007C5458"/>
    <w:rsid w:val="007D2C67"/>
    <w:rsid w:val="007E06BB"/>
    <w:rsid w:val="007F50D1"/>
    <w:rsid w:val="00816D52"/>
    <w:rsid w:val="00820ACA"/>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6C7A"/>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3CB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6973"/>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2CFA"/>
    <w:rsid w:val="00D2455C"/>
    <w:rsid w:val="00D25023"/>
    <w:rsid w:val="00D27F8C"/>
    <w:rsid w:val="00D33843"/>
    <w:rsid w:val="00D54A6F"/>
    <w:rsid w:val="00D57D57"/>
    <w:rsid w:val="00D62E42"/>
    <w:rsid w:val="00D772FB"/>
    <w:rsid w:val="00DA1AA0"/>
    <w:rsid w:val="00DB3F1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2F74"/>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17EC7"/>
    <w:rsid w:val="00F22EC0"/>
    <w:rsid w:val="00F27D7B"/>
    <w:rsid w:val="00F31D34"/>
    <w:rsid w:val="00F342A1"/>
    <w:rsid w:val="00F36FBA"/>
    <w:rsid w:val="00F44D36"/>
    <w:rsid w:val="00F44F05"/>
    <w:rsid w:val="00F46262"/>
    <w:rsid w:val="00F4795D"/>
    <w:rsid w:val="00F50A61"/>
    <w:rsid w:val="00F525CD"/>
    <w:rsid w:val="00F5286C"/>
    <w:rsid w:val="00F52E12"/>
    <w:rsid w:val="00F638CA"/>
    <w:rsid w:val="00F900B4"/>
    <w:rsid w:val="00FA0F2E"/>
    <w:rsid w:val="00FA4DB1"/>
    <w:rsid w:val="00FB3F2A"/>
    <w:rsid w:val="00FB4E04"/>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2A98"/>
    <w:rPr>
      <w:lang w:val="en-US"/>
    </w:rPr>
  </w:style>
  <w:style w:type="character" w:default="1" w:styleId="DefaultParagraphFont">
    <w:name w:val="Default Paragraph Font"/>
    <w:uiPriority w:val="1"/>
    <w:semiHidden/>
    <w:unhideWhenUsed/>
    <w:rsid w:val="00212A9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2A98"/>
  </w:style>
  <w:style w:type="character" w:styleId="LineNumber">
    <w:name w:val="line number"/>
    <w:uiPriority w:val="99"/>
    <w:semiHidden/>
    <w:unhideWhenUsed/>
    <w:rsid w:val="00212A98"/>
    <w:rPr>
      <w:rFonts w:ascii="Times New Roman" w:hAnsi="Times New Roman"/>
      <w:b w:val="0"/>
      <w:i w:val="0"/>
      <w:sz w:val="22"/>
    </w:rPr>
  </w:style>
  <w:style w:type="paragraph" w:styleId="NoSpacing">
    <w:name w:val="No Spacing"/>
    <w:uiPriority w:val="1"/>
    <w:qFormat/>
    <w:rsid w:val="00212A98"/>
    <w:pPr>
      <w:spacing w:after="0" w:line="240" w:lineRule="auto"/>
    </w:pPr>
  </w:style>
  <w:style w:type="paragraph" w:customStyle="1" w:styleId="scemptylineheader">
    <w:name w:val="sc_emptyline_header"/>
    <w:qFormat/>
    <w:rsid w:val="00212A98"/>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12A98"/>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12A98"/>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12A98"/>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12A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12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12A98"/>
    <w:rPr>
      <w:color w:val="808080"/>
    </w:rPr>
  </w:style>
  <w:style w:type="paragraph" w:customStyle="1" w:styleId="scdirectionallanguage">
    <w:name w:val="sc_directional_language"/>
    <w:qFormat/>
    <w:rsid w:val="00212A98"/>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12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12A98"/>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12A98"/>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12A98"/>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12A98"/>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12A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12A98"/>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12A98"/>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12A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12A98"/>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12A98"/>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12A98"/>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12A9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12A98"/>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12A9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12A98"/>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12A98"/>
    <w:rPr>
      <w:rFonts w:ascii="Times New Roman" w:hAnsi="Times New Roman"/>
      <w:color w:val="auto"/>
      <w:sz w:val="22"/>
    </w:rPr>
  </w:style>
  <w:style w:type="paragraph" w:customStyle="1" w:styleId="scclippagebillheader">
    <w:name w:val="sc_clip_page_bill_header"/>
    <w:qFormat/>
    <w:rsid w:val="00212A9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12A98"/>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12A98"/>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12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2A98"/>
    <w:rPr>
      <w:lang w:val="en-US"/>
    </w:rPr>
  </w:style>
  <w:style w:type="paragraph" w:styleId="Footer">
    <w:name w:val="footer"/>
    <w:basedOn w:val="Normal"/>
    <w:link w:val="FooterChar"/>
    <w:uiPriority w:val="99"/>
    <w:unhideWhenUsed/>
    <w:rsid w:val="00212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2A98"/>
    <w:rPr>
      <w:lang w:val="en-US"/>
    </w:rPr>
  </w:style>
  <w:style w:type="paragraph" w:styleId="ListParagraph">
    <w:name w:val="List Paragraph"/>
    <w:basedOn w:val="Normal"/>
    <w:uiPriority w:val="34"/>
    <w:qFormat/>
    <w:rsid w:val="00212A98"/>
    <w:pPr>
      <w:ind w:left="720"/>
      <w:contextualSpacing/>
    </w:pPr>
  </w:style>
  <w:style w:type="paragraph" w:customStyle="1" w:styleId="scbillfooter">
    <w:name w:val="sc_bill_footer"/>
    <w:qFormat/>
    <w:rsid w:val="00212A98"/>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12A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12A98"/>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12A98"/>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12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12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12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12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12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12A98"/>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12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12A98"/>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12A9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12A98"/>
    <w:pPr>
      <w:widowControl w:val="0"/>
      <w:suppressAutoHyphens/>
      <w:spacing w:after="0" w:line="360" w:lineRule="auto"/>
    </w:pPr>
    <w:rPr>
      <w:rFonts w:ascii="Times New Roman" w:hAnsi="Times New Roman"/>
      <w:lang w:val="en-US"/>
    </w:rPr>
  </w:style>
  <w:style w:type="paragraph" w:customStyle="1" w:styleId="sctableln">
    <w:name w:val="sc_table_ln"/>
    <w:qFormat/>
    <w:rsid w:val="00212A98"/>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12A98"/>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12A98"/>
    <w:rPr>
      <w:strike/>
      <w:dstrike w:val="0"/>
    </w:rPr>
  </w:style>
  <w:style w:type="character" w:customStyle="1" w:styleId="scinsert">
    <w:name w:val="sc_insert"/>
    <w:uiPriority w:val="1"/>
    <w:qFormat/>
    <w:rsid w:val="00212A98"/>
    <w:rPr>
      <w:caps w:val="0"/>
      <w:smallCaps w:val="0"/>
      <w:strike w:val="0"/>
      <w:dstrike w:val="0"/>
      <w:vanish w:val="0"/>
      <w:u w:val="single"/>
      <w:vertAlign w:val="baseline"/>
    </w:rPr>
  </w:style>
  <w:style w:type="character" w:customStyle="1" w:styleId="scinsertred">
    <w:name w:val="sc_insert_red"/>
    <w:uiPriority w:val="1"/>
    <w:qFormat/>
    <w:rsid w:val="00212A98"/>
    <w:rPr>
      <w:caps w:val="0"/>
      <w:smallCaps w:val="0"/>
      <w:strike w:val="0"/>
      <w:dstrike w:val="0"/>
      <w:vanish w:val="0"/>
      <w:color w:val="FF0000"/>
      <w:u w:val="single"/>
      <w:vertAlign w:val="baseline"/>
    </w:rPr>
  </w:style>
  <w:style w:type="character" w:customStyle="1" w:styleId="scinsertblue">
    <w:name w:val="sc_insert_blue"/>
    <w:uiPriority w:val="1"/>
    <w:qFormat/>
    <w:rsid w:val="00212A98"/>
    <w:rPr>
      <w:caps w:val="0"/>
      <w:smallCaps w:val="0"/>
      <w:strike w:val="0"/>
      <w:dstrike w:val="0"/>
      <w:vanish w:val="0"/>
      <w:color w:val="0070C0"/>
      <w:u w:val="single"/>
      <w:vertAlign w:val="baseline"/>
    </w:rPr>
  </w:style>
  <w:style w:type="character" w:customStyle="1" w:styleId="scstrikered">
    <w:name w:val="sc_strike_red"/>
    <w:uiPriority w:val="1"/>
    <w:qFormat/>
    <w:rsid w:val="00212A98"/>
    <w:rPr>
      <w:strike/>
      <w:dstrike w:val="0"/>
      <w:color w:val="FF0000"/>
    </w:rPr>
  </w:style>
  <w:style w:type="character" w:customStyle="1" w:styleId="scstrikeblue">
    <w:name w:val="sc_strike_blue"/>
    <w:uiPriority w:val="1"/>
    <w:qFormat/>
    <w:rsid w:val="00212A98"/>
    <w:rPr>
      <w:strike/>
      <w:dstrike w:val="0"/>
      <w:color w:val="0070C0"/>
    </w:rPr>
  </w:style>
  <w:style w:type="character" w:customStyle="1" w:styleId="scinsertbluenounderline">
    <w:name w:val="sc_insert_blue_no_underline"/>
    <w:uiPriority w:val="1"/>
    <w:qFormat/>
    <w:rsid w:val="00212A98"/>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12A98"/>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12A98"/>
    <w:rPr>
      <w:strike/>
      <w:dstrike w:val="0"/>
      <w:color w:val="0070C0"/>
      <w:lang w:val="en-US"/>
    </w:rPr>
  </w:style>
  <w:style w:type="character" w:customStyle="1" w:styleId="scstrikerednoncodified">
    <w:name w:val="sc_strike_red_non_codified"/>
    <w:uiPriority w:val="1"/>
    <w:qFormat/>
    <w:rsid w:val="00212A98"/>
    <w:rPr>
      <w:strike/>
      <w:dstrike w:val="0"/>
      <w:color w:val="FF0000"/>
    </w:rPr>
  </w:style>
  <w:style w:type="paragraph" w:customStyle="1" w:styleId="scbillsiglines">
    <w:name w:val="sc_bill_sig_lines"/>
    <w:qFormat/>
    <w:rsid w:val="00212A98"/>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12A98"/>
    <w:rPr>
      <w:bdr w:val="none" w:sz="0" w:space="0" w:color="auto"/>
      <w:shd w:val="clear" w:color="auto" w:fill="FEC6C6"/>
    </w:rPr>
  </w:style>
  <w:style w:type="paragraph" w:styleId="Revision">
    <w:name w:val="Revision"/>
    <w:hidden/>
    <w:uiPriority w:val="99"/>
    <w:semiHidden/>
    <w:rsid w:val="00707862"/>
    <w:pPr>
      <w:spacing w:after="0" w:line="240" w:lineRule="auto"/>
    </w:pPr>
    <w:rPr>
      <w:lang w:val="en-US"/>
    </w:rPr>
  </w:style>
  <w:style w:type="character" w:customStyle="1" w:styleId="screstoreblue">
    <w:name w:val="sc_restore_blue"/>
    <w:uiPriority w:val="1"/>
    <w:qFormat/>
    <w:rsid w:val="00212A98"/>
    <w:rPr>
      <w:color w:val="4472C4" w:themeColor="accent1"/>
      <w:bdr w:val="none" w:sz="0" w:space="0" w:color="auto"/>
      <w:shd w:val="clear" w:color="auto" w:fill="auto"/>
    </w:rPr>
  </w:style>
  <w:style w:type="character" w:customStyle="1" w:styleId="screstorered">
    <w:name w:val="sc_restore_red"/>
    <w:uiPriority w:val="1"/>
    <w:qFormat/>
    <w:rsid w:val="00212A98"/>
    <w:rPr>
      <w:color w:val="FF0000"/>
      <w:bdr w:val="none" w:sz="0" w:space="0" w:color="auto"/>
      <w:shd w:val="clear" w:color="auto" w:fill="auto"/>
    </w:rPr>
  </w:style>
  <w:style w:type="character" w:customStyle="1" w:styleId="scstrikenewblue">
    <w:name w:val="sc_strike_new_blue"/>
    <w:uiPriority w:val="1"/>
    <w:qFormat/>
    <w:rsid w:val="00212A98"/>
    <w:rPr>
      <w:strike w:val="0"/>
      <w:dstrike/>
      <w:color w:val="0070C0"/>
      <w:u w:val="none"/>
    </w:rPr>
  </w:style>
  <w:style w:type="character" w:customStyle="1" w:styleId="scstrikenewred">
    <w:name w:val="sc_strike_new_red"/>
    <w:uiPriority w:val="1"/>
    <w:qFormat/>
    <w:rsid w:val="00212A98"/>
    <w:rPr>
      <w:strike w:val="0"/>
      <w:dstrike/>
      <w:color w:val="FF0000"/>
      <w:u w:val="none"/>
    </w:rPr>
  </w:style>
  <w:style w:type="character" w:customStyle="1" w:styleId="scamendsenate">
    <w:name w:val="sc_amend_senate"/>
    <w:uiPriority w:val="1"/>
    <w:qFormat/>
    <w:rsid w:val="00212A98"/>
    <w:rPr>
      <w:bdr w:val="none" w:sz="0" w:space="0" w:color="auto"/>
      <w:shd w:val="clear" w:color="auto" w:fill="FFF2CC" w:themeFill="accent4" w:themeFillTint="33"/>
    </w:rPr>
  </w:style>
  <w:style w:type="character" w:customStyle="1" w:styleId="scamendhouse">
    <w:name w:val="sc_amend_house"/>
    <w:uiPriority w:val="1"/>
    <w:qFormat/>
    <w:rsid w:val="00212A98"/>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99&amp;session=125&amp;summary=B" TargetMode="External" Id="Ra75a8e6db0cf48fe" /><Relationship Type="http://schemas.openxmlformats.org/officeDocument/2006/relationships/hyperlink" Target="https://www.scstatehouse.gov/sess125_2023-2024/prever/4599_20231116.docx" TargetMode="External" Id="R3aa91432f54f4e27" /><Relationship Type="http://schemas.openxmlformats.org/officeDocument/2006/relationships/hyperlink" Target="h:\hj\20240109.docx" TargetMode="External" Id="R74bb182910b743ce" /><Relationship Type="http://schemas.openxmlformats.org/officeDocument/2006/relationships/hyperlink" Target="h:\hj\20240109.docx" TargetMode="External" Id="R7dc37122932742b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54c2dcaf-fedf-4a01-8db2-9d58b2f4496a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bbecb340-9beb-4683-a4ca-d0e3b5741c50</T_BILL_REQUEST_REQUEST>
  <T_BILL_R_ORIGINALDRAFT>ea884a76-c672-4885-ab8f-20b7b8542f82</T_BILL_R_ORIGINALDRAFT>
  <T_BILL_SPONSOR_SPONSOR>f949017d-22cd-47f8-8851-cea9e714f6a6</T_BILL_SPONSOR_SPONSOR>
  <T_BILL_T_BILLNAME>[4599]</T_BILL_T_BILLNAME>
  <T_BILL_T_BILLNUMBER>4599</T_BILL_T_BILLNUMBER>
  <T_BILL_T_BILLTITLE>TO AMEND THE SOUTH CAROLINA CODE OF LAWS BY AMENDING SECTION 12‑21‑4200, RELATING TO THE DISBURSEMENT OF BINGO tax REVENUES, SO AS TO INCREASE THE PERCENTAGE THAT IS CREDITED to the PARKS AND RECREATION DEVELOPMENT FUND AND DECREASE THE PERCENTAGE CREDITED TO THE GENERAL FUND; AND BY AMENDING SECTION 51‑23‑20, RELATING TO ALLOCATION OF PROCEEDS OF THE PARKS AND RECREATION FUND, SO AS TO INCREASE THE AMOUNT THAT MUST BE CREDITED TO EACH COUNTY.</T_BILL_T_BILLTITLE>
  <T_BILL_T_CHAMBER>house</T_BILL_T_CHAMBER>
  <T_BILL_T_FILENAME> </T_BILL_T_FILENAME>
  <T_BILL_T_LEGTYPE>bill_statewide</T_BILL_T_LEGTYPE>
  <T_BILL_T_SECTIONS>[{"SectionUUID":"41fb63bc-f9a8-484e-9557-28edf5d4ccee","SectionName":"code_section","SectionNumber":1,"SectionType":"code_section","CodeSections":[{"CodeSectionBookmarkName":"cs_T12C21N4200_a650ccfaf","IsConstitutionSection":false,"Identity":"12-21-4200","IsNew":false,"SubSections":[{"Level":1,"Identity":"T12C21N4200S2","SubSectionBookmarkName":"ss_T12C21N4200S2_lv1_4574856b7","IsNewSubSection":false,"SubSectionReplacement":""},{"Level":1,"Identity":"T12C21N4200S3","SubSectionBookmarkName":"ss_T12C21N4200S3_lv1_684f57065","IsNewSubSection":false,"SubSectionReplacement":""}],"TitleRelatedTo":"the Disbursement of bingo revenues","TitleSoAsTo":"increase the percentage that is credited parks and recreation development fund and decrease the percentage credited to the general fund","Deleted":false}],"TitleText":"","DisableControls":true,"Deleted":false,"RepealItems":[],"SectionBookmarkName":"bs_num_1_e96680209"},{"SectionUUID":"65c280ea-37ce-44b4-8079-8e28c833d265","SectionName":"code_section","SectionNumber":2,"SectionType":"code_section","CodeSections":[{"CodeSectionBookmarkName":"cs_T51C23N20_666ebb117","IsConstitutionSection":false,"Identity":"51-23-20","IsNew":false,"SubSections":[{"Level":1,"Identity":"T51C23N20S1","SubSectionBookmarkName":"ss_T51C23N20S1_lv1_428301677","IsNewSubSection":false,"SubSectionReplacement":""}],"TitleRelatedTo":"Allocation of proceeds of the Parks and Recreation Fund","TitleSoAsTo":"increase the amount that must be credited to each county","Deleted":false}],"TitleText":"","DisableControls":false,"Deleted":false,"RepealItems":[],"SectionBookmarkName":"bs_num_2_6e0b72bd2"},{"SectionUUID":"325273cd-d3da-4e48-bd51-022223cac58f","SectionName":"Effective Date - With Specific Date","SectionNumber":3,"SectionType":"drafting_clause","CodeSections":[],"TitleText":"","DisableControls":false,"Deleted":false,"RepealItems":[],"SectionBookmarkName":"bs_num_3_5f0360cfd"}]</T_BILL_T_SECTIONS>
  <T_BILL_T_SECTIONSHISTORY>[{"Id":3,"SectionsList":[{"SectionUUID":"41fb63bc-f9a8-484e-9557-28edf5d4ccee","SectionName":"code_section","SectionNumber":1,"SectionType":"code_section","CodeSections":[{"CodeSectionBookmarkName":"cs_T12C21N4200_a650ccfaf","IsConstitutionSection":false,"Identity":"12-21-4200","IsNew":false,"SubSections":[{"Level":1,"Identity":"T12C21N4200S2","SubSectionBookmarkName":"ss_T12C21N4200S2_lv1_8acf835b0","IsNewSubSection":false,"SubSectionReplacement":""},{"Level":1,"Identity":"T12C21N4200S3","SubSectionBookmarkName":"ss_T12C21N4200S3_lv1_6983f2665","IsNewSubSection":false,"SubSectionReplacement":""}],"TitleRelatedTo":"Disbursement of revenues.","TitleSoAsTo":"","Deleted":false}],"TitleText":"","DisableControls":true,"Deleted":false,"RepealItems":[],"SectionBookmarkName":"bs_num_1_e96680209"},{"SectionUUID":"65c280ea-37ce-44b4-8079-8e28c833d265","SectionName":"code_section","SectionNumber":2,"SectionType":"code_section","CodeSections":[{"CodeSectionBookmarkName":"cs_T51C23N20_666ebb117","IsConstitutionSection":false,"Identity":"51-23-20","IsNew":false,"SubSections":[{"Level":1,"Identity":"T51C23N20S1","SubSectionBookmarkName":"ss_T51C23N20S1_lv1_09b24b63e","IsNewSubSection":false,"SubSectionReplacement":""}],"TitleRelatedTo":"Allocation of proceeds of Parks and Recreation Fund.","TitleSoAsTo":"","Deleted":false}],"TitleText":"","DisableControls":false,"Deleted":false,"RepealItems":[],"SectionBookmarkName":"bs_num_2_6e0b72bd2"},{"SectionUUID":"325273cd-d3da-4e48-bd51-022223cac58f","SectionName":"Effective Date - With Specific Date","SectionNumber":3,"SectionType":"drafting_clause","CodeSections":[],"TitleText":"","DisableControls":false,"Deleted":false,"RepealItems":[],"SectionBookmarkName":"bs_num_3_5f0360cfd"}],"Timestamp":"2023-07-24T10:43:30.6851567-04:00","Username":null},{"Id":2,"SectionsList":[{"SectionUUID":"41fb63bc-f9a8-484e-9557-28edf5d4ccee","SectionName":"code_section","SectionNumber":1,"SectionType":"code_section","CodeSections":[{"CodeSectionBookmarkName":"cs_T12C21N4200_a650ccfaf","IsConstitutionSection":false,"Identity":"12-21-4200","IsNew":false,"SubSections":[{"Level":1,"Identity":"T12C21N4200S2","SubSectionBookmarkName":"ss_T12C21N4200S2_lv1_8acf835b0","IsNewSubSection":false,"SubSectionReplacement":""},{"Level":1,"Identity":"T12C21N4200S3","SubSectionBookmarkName":"ss_T12C21N4200S3_lv1_6983f2665","IsNewSubSection":false,"SubSectionReplacement":""}],"TitleRelatedTo":"Disbursement of revenues.","TitleSoAsTo":"","Deleted":false}],"TitleText":"","DisableControls":true,"Deleted":false,"RepealItems":[],"SectionBookmarkName":"bs_num_1_e96680209"},{"SectionUUID":"8f03ca95-8faa-4d43-a9c2-8afc498075bd","SectionName":"standard_eff_date_section","SectionNumber":3,"SectionType":"drafting_clause","CodeSections":[],"TitleText":"","DisableControls":false,"Deleted":false,"RepealItems":[],"SectionBookmarkName":"bs_num_3_lastsection"},{"SectionUUID":"65c280ea-37ce-44b4-8079-8e28c833d265","SectionName":"code_section","SectionNumber":2,"SectionType":"code_section","CodeSections":[{"CodeSectionBookmarkName":"cs_T51C23N20_666ebb117","IsConstitutionSection":false,"Identity":"51-23-20","IsNew":false,"SubSections":[{"Level":1,"Identity":"T51C23N20S1","SubSectionBookmarkName":"ss_T51C23N20S1_lv1_09b24b63e","IsNewSubSection":false,"SubSectionReplacement":""}],"TitleRelatedTo":"Allocation of proceeds of Parks and Recreation Fund.","TitleSoAsTo":"","Deleted":false}],"TitleText":"","DisableControls":false,"Deleted":false,"RepealItems":[],"SectionBookmarkName":"bs_num_2_6e0b72bd2"}],"Timestamp":"2023-07-24T10:42:55.244281-04:00","Username":null},{"Id":1,"SectionsList":[{"SectionUUID":"8f03ca95-8faa-4d43-a9c2-8afc498075bd","SectionName":"standard_eff_date_section","SectionNumber":2,"SectionType":"drafting_clause","CodeSections":[],"TitleText":"","DisableControls":false,"Deleted":false,"RepealItems":[],"SectionBookmarkName":"bs_num_2_lastsection"},{"SectionUUID":"41fb63bc-f9a8-484e-9557-28edf5d4ccee","SectionName":"code_section","SectionNumber":1,"SectionType":"code_section","CodeSections":[{"CodeSectionBookmarkName":"cs_T12C21N4200_a650ccfaf","IsConstitutionSection":false,"Identity":"12-21-4200","IsNew":false,"SubSections":[{"Level":1,"Identity":"T12C21N4200S2","SubSectionBookmarkName":"ss_T12C21N4200S2_lv1_8acf835b0","IsNewSubSection":false,"SubSectionReplacement":""},{"Level":1,"Identity":"T12C21N4200S3","SubSectionBookmarkName":"ss_T12C21N4200S3_lv1_6983f2665","IsNewSubSection":false,"SubSectionReplacement":""}],"TitleRelatedTo":"Disbursement of revenues.","TitleSoAsTo":"","Deleted":false}],"TitleText":"","DisableControls":true,"Deleted":false,"RepealItems":[],"SectionBookmarkName":"bs_num_1_e96680209"}],"Timestamp":"2023-07-24T10:35:55.8579345-04:00","Username":null},{"Id":4,"SectionsList":[{"SectionUUID":"41fb63bc-f9a8-484e-9557-28edf5d4ccee","SectionName":"code_section","SectionNumber":1,"SectionType":"code_section","CodeSections":[{"CodeSectionBookmarkName":"cs_T12C21N4200_a650ccfaf","IsConstitutionSection":false,"Identity":"12-21-4200","IsNew":false,"SubSections":[{"Level":1,"Identity":"T12C21N4200S2","SubSectionBookmarkName":"ss_T12C21N4200S2_lv1_8acf835b0","IsNewSubSection":false,"SubSectionReplacement":""},{"Level":1,"Identity":"T12C21N4200S3","SubSectionBookmarkName":"ss_T12C21N4200S3_lv1_6983f2665","IsNewSubSection":false,"SubSectionReplacement":""}],"TitleRelatedTo":"the Disbursement of bingo revenues","TitleSoAsTo":"increase the percentage that is credited parks and recreation development fund and decrease the percentage credited to the general fund","Deleted":false}],"TitleText":"","DisableControls":true,"Deleted":false,"RepealItems":[],"SectionBookmarkName":"bs_num_1_e96680209"},{"SectionUUID":"65c280ea-37ce-44b4-8079-8e28c833d265","SectionName":"code_section","SectionNumber":2,"SectionType":"code_section","CodeSections":[{"CodeSectionBookmarkName":"cs_T51C23N20_666ebb117","IsConstitutionSection":false,"Identity":"51-23-20","IsNew":false,"SubSections":[{"Level":1,"Identity":"T51C23N20S1","SubSectionBookmarkName":"ss_T51C23N20S1_lv1_09b24b63e","IsNewSubSection":false,"SubSectionReplacement":""}],"TitleRelatedTo":"Allocation of proceeds of the Parks and Recreation Fund","TitleSoAsTo":"increase the amount that must be credited to each county","Deleted":false}],"TitleText":"","DisableControls":false,"Deleted":false,"RepealItems":[],"SectionBookmarkName":"bs_num_2_6e0b72bd2"},{"SectionUUID":"325273cd-d3da-4e48-bd51-022223cac58f","SectionName":"Effective Date - With Specific Date","SectionNumber":3,"SectionType":"drafting_clause","CodeSections":[],"TitleText":"","DisableControls":false,"Deleted":false,"RepealItems":[],"SectionBookmarkName":"bs_num_3_5f0360cfd"}],"Timestamp":"2023-07-24T10:45:51.0939415-04:00","Username":"davidgood@scstatehouse.gov"}]</T_BILL_T_SECTIONSHISTORY>
  <T_BILL_T_SUBJECT>PARD grants</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1724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2024-04-12T15:41:00Z</dcterms:created>
  <dcterms:modified xsi:type="dcterms:W3CDTF">2024-04-12T15:41:00Z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