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Williams, Robbins, B.J. Cox, Rivers, M.M. Smith, Bailey, Clyburn, J.E. Johnson, Taylor, Thigpen, Whitmire, Jefferson, Pope, Ligon, O'Neal, Guffey, Sessions, McGinnis, B.L. Cox, Pace, Hosey, Gilliam, Carter, Oremus, West, Cromer, Neese, Guest, Lawson, T. Moore, Nutt, Schuessler, Forrest, Gatch, Gibson, Harris, Hayes, Henegan, Magnuson, J. Moore, Moss and Brewer</w:t>
      </w:r>
    </w:p>
    <w:p>
      <w:pPr>
        <w:widowControl w:val="false"/>
        <w:spacing w:after="0"/>
        <w:jc w:val="left"/>
      </w:pPr>
      <w:r>
        <w:rPr>
          <w:rFonts w:ascii="Times New Roman"/>
          <w:sz w:val="22"/>
        </w:rPr>
        <w:t xml:space="preserve">Document Path: LC-0235SA23.docx</w:t>
      </w:r>
    </w:p>
    <w:p>
      <w:pPr>
        <w:widowControl w:val="false"/>
        <w:spacing w:after="0"/>
        <w:jc w:val="left"/>
      </w:pPr>
    </w:p>
    <w:p>
      <w:pPr>
        <w:widowControl w:val="false"/>
        <w:spacing w:after="0"/>
        <w:jc w:val="left"/>
      </w:pPr>
      <w:r>
        <w:rPr>
          <w:rFonts w:ascii="Times New Roman"/>
          <w:sz w:val="22"/>
        </w:rPr>
        <w:t xml:space="preserve">Introduced in the House on January 30,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SCRS and PORS earnings limitation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House</w:t>
      </w:r>
      <w:r>
        <w:tab/>
        <w:t xml:space="preserve">Introduced and read first time</w:t>
      </w:r>
      <w:r>
        <w:t xml:space="preserve"> (</w:t>
      </w:r>
      <w:hyperlink w:history="true" r:id="Rc63448d429984e4f">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1/30/2024</w:t>
      </w:r>
      <w:r>
        <w:tab/>
        <w:t>House</w:t>
      </w:r>
      <w:r>
        <w:tab/>
        <w:t xml:space="preserve">Referred to Committee on</w:t>
      </w:r>
      <w:r>
        <w:rPr>
          <w:b/>
        </w:rPr>
        <w:t xml:space="preserve"> Ways and Means</w:t>
      </w:r>
      <w:r>
        <w:t xml:space="preserve"> (</w:t>
      </w:r>
      <w:hyperlink w:history="true" r:id="Ref4d9343046c46ea">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2/6/2024</w:t>
      </w:r>
      <w:r>
        <w:tab/>
        <w:t>House</w:t>
      </w:r>
      <w:r>
        <w:tab/>
        <w:t>Member(s) request name added as sponsor: Brewer
 </w:t>
      </w:r>
    </w:p>
    <w:p>
      <w:pPr>
        <w:widowControl w:val="false"/>
        <w:spacing w:after="0"/>
        <w:jc w:val="left"/>
      </w:pPr>
    </w:p>
    <w:p>
      <w:pPr>
        <w:widowControl w:val="false"/>
        <w:spacing w:after="0"/>
        <w:jc w:val="left"/>
      </w:pPr>
      <w:r>
        <w:rPr>
          <w:rFonts w:ascii="Times New Roman"/>
          <w:sz w:val="22"/>
        </w:rPr>
        <w:t xml:space="preserve">View the latest </w:t>
      </w:r>
      <w:hyperlink r:id="R78cf5a94f96b4e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689385fdda04fca">
        <w:r>
          <w:rPr>
            <w:rStyle w:val="Hyperlink"/>
            <w:u w:val="single"/>
          </w:rPr>
          <w:t>01/30/2024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94C81" w14:paraId="40FEFADA" w14:textId="4F9E00E6">
          <w:pPr>
            <w:pStyle w:val="scbilltitle"/>
            <w:tabs>
              <w:tab w:val="left" w:pos="2104"/>
            </w:tabs>
          </w:pPr>
          <w:r>
            <w:t>TO AMEND</w:t>
          </w:r>
          <w:r w:rsidR="00C477C4">
            <w:t xml:space="preserve"> the south carolina code of laws by amending</w:t>
          </w:r>
          <w:r>
            <w:t xml:space="preserve">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w:t>
          </w:r>
          <w:r w:rsidR="001A3953">
            <w:t>2</w:t>
          </w:r>
          <w:r w:rsidR="001543CE">
            <w:t>5</w:t>
          </w:r>
          <w:r>
            <w:t xml:space="preserve">. </w:t>
          </w:r>
        </w:p>
      </w:sdtContent>
    </w:sdt>
    <w:bookmarkStart w:name="at_98e410400" w:displacedByCustomXml="prev" w:id="0"/>
    <w:bookmarkEnd w:id="0"/>
    <w:p w:rsidRPr="00DF3B44" w:rsidR="006C18F0" w:rsidP="006C18F0" w:rsidRDefault="006C18F0" w14:paraId="5BAAC1B7" w14:textId="77777777">
      <w:pPr>
        <w:pStyle w:val="scbillwhereasclause"/>
      </w:pPr>
    </w:p>
    <w:p w:rsidR="00A94C81" w:rsidP="00A94C81" w:rsidRDefault="00A94C81" w14:paraId="166C4B1E" w14:textId="77777777">
      <w:pPr>
        <w:pStyle w:val="scenactingwords"/>
      </w:pPr>
      <w:bookmarkStart w:name="ew_515e66c2e" w:id="1"/>
      <w:r>
        <w:t>B</w:t>
      </w:r>
      <w:bookmarkEnd w:id="1"/>
      <w:r>
        <w:t>e it enacted by the General Assembly of the State of South Carolina:</w:t>
      </w:r>
    </w:p>
    <w:p w:rsidR="00A94C81" w:rsidP="00A94C81" w:rsidRDefault="00A94C81" w14:paraId="538A7934" w14:textId="77777777">
      <w:pPr>
        <w:pStyle w:val="scemptyline"/>
      </w:pPr>
    </w:p>
    <w:p w:rsidR="00A94C81" w:rsidP="00A94C81" w:rsidRDefault="00A94C81" w14:paraId="0258A409" w14:textId="2798DC88">
      <w:pPr>
        <w:pStyle w:val="scdirectionallanguage"/>
      </w:pPr>
      <w:bookmarkStart w:name="bs_num_1_4cd799d94" w:id="2"/>
      <w:r>
        <w:t>S</w:t>
      </w:r>
      <w:bookmarkEnd w:id="2"/>
      <w:r>
        <w:t>ECTION 1.</w:t>
      </w:r>
      <w:r>
        <w:tab/>
      </w:r>
      <w:bookmarkStart w:name="dl_715ca04b6" w:id="3"/>
      <w:r>
        <w:rPr>
          <w:color w:val="000000" w:themeColor="text1"/>
          <w:u w:color="000000" w:themeColor="text1"/>
        </w:rPr>
        <w:t>S</w:t>
      </w:r>
      <w:bookmarkEnd w:id="3"/>
      <w:r>
        <w:t>ection 9</w:t>
      </w:r>
      <w:r>
        <w:rPr>
          <w:color w:val="000000" w:themeColor="text1"/>
          <w:u w:color="000000" w:themeColor="text1"/>
        </w:rPr>
        <w:noBreakHyphen/>
        <w:t>1</w:t>
      </w:r>
      <w:r>
        <w:rPr>
          <w:color w:val="000000" w:themeColor="text1"/>
          <w:u w:color="000000" w:themeColor="text1"/>
        </w:rPr>
        <w:noBreakHyphen/>
        <w:t xml:space="preserve">1790(A)(2)(a) of the </w:t>
      </w:r>
      <w:r w:rsidR="001A188C">
        <w:rPr>
          <w:color w:val="000000" w:themeColor="text1"/>
          <w:u w:color="000000" w:themeColor="text1"/>
        </w:rPr>
        <w:t>S.C.</w:t>
      </w:r>
      <w:r>
        <w:rPr>
          <w:color w:val="000000" w:themeColor="text1"/>
          <w:u w:color="000000" w:themeColor="text1"/>
        </w:rPr>
        <w:t xml:space="preserve"> Code is amended to read:</w:t>
      </w:r>
    </w:p>
    <w:p w:rsidR="00A94C81" w:rsidP="00A94C81" w:rsidRDefault="00A94C81" w14:paraId="1D99AADD" w14:textId="77777777">
      <w:pPr>
        <w:pStyle w:val="scemptyline"/>
      </w:pPr>
    </w:p>
    <w:p w:rsidR="00A94C81" w:rsidP="00A94C81" w:rsidRDefault="00A94C81" w14:paraId="2B3C9F9A" w14:textId="659704F7">
      <w:pPr>
        <w:pStyle w:val="sccodifiedsection"/>
      </w:pPr>
      <w:bookmarkStart w:name="cs_T9C1N1790_36e48a019" w:id="4"/>
      <w:r>
        <w:tab/>
      </w:r>
      <w:bookmarkStart w:name="ss_T9C1N1790Sa_lv1_fe462c4f9" w:id="5"/>
      <w:bookmarkEnd w:id="4"/>
      <w:r>
        <w:rPr>
          <w:color w:val="000000" w:themeColor="text1"/>
          <w:u w:color="000000" w:themeColor="text1"/>
        </w:rPr>
        <w:t>(</w:t>
      </w:r>
      <w:bookmarkEnd w:id="5"/>
      <w:r>
        <w:rPr>
          <w:color w:val="000000" w:themeColor="text1"/>
          <w:u w:color="000000" w:themeColor="text1"/>
        </w:rPr>
        <w:t>a)</w:t>
      </w:r>
      <w:r>
        <w:t xml:space="preserve"> </w:t>
      </w:r>
      <w:r>
        <w:rPr>
          <w:color w:val="000000" w:themeColor="text1"/>
          <w:u w:color="000000" w:themeColor="text1"/>
        </w:rPr>
        <w:t xml:space="preserve">the member retired before January 2, </w:t>
      </w:r>
      <w:proofErr w:type="gramStart"/>
      <w:r>
        <w:rPr>
          <w:rStyle w:val="scstrike"/>
        </w:rPr>
        <w:t>2013</w:t>
      </w:r>
      <w:proofErr w:type="gramEnd"/>
      <w:r>
        <w:rPr>
          <w:color w:val="000000" w:themeColor="text1"/>
          <w:u w:color="000000" w:themeColor="text1"/>
        </w:rPr>
        <w:t xml:space="preserve"> </w:t>
      </w:r>
      <w:r>
        <w:rPr>
          <w:rStyle w:val="scinsert"/>
        </w:rPr>
        <w:t>20</w:t>
      </w:r>
      <w:r w:rsidR="001A3953">
        <w:rPr>
          <w:rStyle w:val="scinsert"/>
        </w:rPr>
        <w:t>2</w:t>
      </w:r>
      <w:r w:rsidR="001543CE">
        <w:rPr>
          <w:rStyle w:val="scinsert"/>
        </w:rPr>
        <w:t>5</w:t>
      </w:r>
      <w:r>
        <w:rPr>
          <w:color w:val="000000" w:themeColor="text1"/>
          <w:u w:color="000000" w:themeColor="text1"/>
        </w:rPr>
        <w:t>;</w:t>
      </w:r>
    </w:p>
    <w:p w:rsidR="00A94C81" w:rsidP="00A94C81" w:rsidRDefault="00A94C81" w14:paraId="4FC3B415" w14:textId="77777777">
      <w:pPr>
        <w:pStyle w:val="scemptyline"/>
      </w:pPr>
    </w:p>
    <w:p w:rsidRPr="00904EAD" w:rsidR="00A94C81" w:rsidP="00A94C81" w:rsidRDefault="00A94C81" w14:paraId="21E05B01" w14:textId="5E057682">
      <w:pPr>
        <w:pStyle w:val="scdirectionallanguage"/>
      </w:pPr>
      <w:bookmarkStart w:name="bs_num_2_352003db1" w:id="6"/>
      <w:r>
        <w:rPr>
          <w:color w:val="000000" w:themeColor="text1"/>
          <w:u w:color="000000" w:themeColor="text1"/>
        </w:rPr>
        <w:t>S</w:t>
      </w:r>
      <w:bookmarkEnd w:id="6"/>
      <w:r>
        <w:t xml:space="preserve">ECTION </w:t>
      </w:r>
      <w:r>
        <w:rPr>
          <w:color w:val="000000" w:themeColor="text1"/>
          <w:u w:color="000000" w:themeColor="text1"/>
        </w:rPr>
        <w:t>2.</w:t>
      </w:r>
      <w:r>
        <w:rPr>
          <w:color w:val="000000" w:themeColor="text1"/>
          <w:u w:color="000000" w:themeColor="text1"/>
        </w:rPr>
        <w:tab/>
      </w:r>
      <w:bookmarkStart w:name="dl_86cc0f12e" w:id="7"/>
      <w:r w:rsidRPr="00904EAD">
        <w:rPr>
          <w:color w:val="000000" w:themeColor="text1"/>
          <w:u w:color="000000" w:themeColor="text1"/>
        </w:rPr>
        <w:t>S</w:t>
      </w:r>
      <w:bookmarkEnd w:id="7"/>
      <w:r>
        <w:t>ection 9</w:t>
      </w:r>
      <w:r>
        <w:rPr>
          <w:color w:val="000000" w:themeColor="text1"/>
          <w:u w:color="000000" w:themeColor="text1"/>
        </w:rPr>
        <w:noBreakHyphen/>
      </w:r>
      <w:r w:rsidRPr="00904EAD">
        <w:rPr>
          <w:color w:val="000000" w:themeColor="text1"/>
          <w:u w:color="000000" w:themeColor="text1"/>
        </w:rPr>
        <w:t>11</w:t>
      </w:r>
      <w:r>
        <w:rPr>
          <w:color w:val="000000" w:themeColor="text1"/>
          <w:u w:color="000000" w:themeColor="text1"/>
        </w:rPr>
        <w:noBreakHyphen/>
      </w:r>
      <w:r w:rsidRPr="00904EAD">
        <w:rPr>
          <w:color w:val="000000" w:themeColor="text1"/>
          <w:u w:color="000000" w:themeColor="text1"/>
        </w:rPr>
        <w:t xml:space="preserve">90(4)(a)(ii)(A) of the </w:t>
      </w:r>
      <w:r w:rsidR="001A188C">
        <w:rPr>
          <w:color w:val="000000" w:themeColor="text1"/>
          <w:u w:color="000000" w:themeColor="text1"/>
        </w:rPr>
        <w:t>S.C.</w:t>
      </w:r>
      <w:r w:rsidRPr="00904EAD">
        <w:rPr>
          <w:color w:val="000000" w:themeColor="text1"/>
          <w:u w:color="000000" w:themeColor="text1"/>
        </w:rPr>
        <w:t xml:space="preserve"> Code is amended to read:</w:t>
      </w:r>
    </w:p>
    <w:p w:rsidRPr="00904EAD" w:rsidR="00A94C81" w:rsidP="00A94C81" w:rsidRDefault="00A94C81" w14:paraId="370FF2E1" w14:textId="77777777">
      <w:pPr>
        <w:pStyle w:val="scemptyline"/>
      </w:pPr>
    </w:p>
    <w:p w:rsidRPr="00904EAD" w:rsidR="00A94C81" w:rsidP="00A94C81" w:rsidRDefault="00A94C81" w14:paraId="79E58072" w14:textId="75AF3C1B">
      <w:pPr>
        <w:pStyle w:val="sccodifiedsection"/>
      </w:pPr>
      <w:bookmarkStart w:name="cs_T9C11N90_b6febe318" w:id="8"/>
      <w:r>
        <w:tab/>
      </w:r>
      <w:bookmarkStart w:name="ss_T9C11N90SA_lv1_1dba15cb5" w:id="9"/>
      <w:bookmarkEnd w:id="8"/>
      <w:r w:rsidRPr="00904EAD">
        <w:rPr>
          <w:color w:val="000000" w:themeColor="text1"/>
          <w:u w:color="000000" w:themeColor="text1"/>
        </w:rPr>
        <w:t>(</w:t>
      </w:r>
      <w:bookmarkEnd w:id="9"/>
      <w:r w:rsidRPr="00904EAD">
        <w:rPr>
          <w:color w:val="000000" w:themeColor="text1"/>
          <w:u w:color="000000" w:themeColor="text1"/>
        </w:rPr>
        <w:t>A)</w:t>
      </w:r>
      <w:r w:rsidRPr="00904EAD">
        <w:t xml:space="preserve"> </w:t>
      </w:r>
      <w:r w:rsidRPr="00904EAD">
        <w:rPr>
          <w:color w:val="000000" w:themeColor="text1"/>
          <w:u w:color="000000" w:themeColor="text1"/>
        </w:rPr>
        <w:t xml:space="preserve">the member retired before January 2, </w:t>
      </w:r>
      <w:proofErr w:type="gramStart"/>
      <w:r>
        <w:rPr>
          <w:rStyle w:val="scstrike"/>
        </w:rPr>
        <w:t>2013</w:t>
      </w:r>
      <w:proofErr w:type="gramEnd"/>
      <w:r w:rsidRPr="00904EAD">
        <w:rPr>
          <w:color w:val="000000" w:themeColor="text1"/>
          <w:u w:color="000000" w:themeColor="text1"/>
        </w:rPr>
        <w:t xml:space="preserve"> </w:t>
      </w:r>
      <w:r w:rsidRPr="00904EAD">
        <w:rPr>
          <w:rStyle w:val="scinsert"/>
        </w:rPr>
        <w:t>20</w:t>
      </w:r>
      <w:r w:rsidR="001A3953">
        <w:rPr>
          <w:rStyle w:val="scinsert"/>
        </w:rPr>
        <w:t>2</w:t>
      </w:r>
      <w:r w:rsidR="001543CE">
        <w:rPr>
          <w:rStyle w:val="scinsert"/>
        </w:rPr>
        <w:t>5</w:t>
      </w:r>
      <w:r w:rsidRPr="00904EAD">
        <w:rPr>
          <w:color w:val="000000" w:themeColor="text1"/>
          <w:u w:color="000000" w:themeColor="text1"/>
        </w:rPr>
        <w:t>;</w:t>
      </w:r>
    </w:p>
    <w:p w:rsidRPr="00904EAD" w:rsidR="00A94C81" w:rsidP="00A94C81" w:rsidRDefault="00A94C81" w14:paraId="747D8607" w14:textId="77777777">
      <w:pPr>
        <w:pStyle w:val="scemptyline"/>
      </w:pPr>
    </w:p>
    <w:p w:rsidR="00A94C81" w:rsidP="00A94C81" w:rsidRDefault="00A94C81" w14:paraId="0E8BBB0C" w14:textId="54922B9F">
      <w:pPr>
        <w:pStyle w:val="scnoncodifiedsection"/>
      </w:pPr>
      <w:bookmarkStart w:name="eff_date_section" w:id="10"/>
      <w:bookmarkStart w:name="bs_num_3_lastsection" w:id="11"/>
      <w:bookmarkEnd w:id="10"/>
      <w:r>
        <w:rPr>
          <w:color w:val="000000" w:themeColor="text1"/>
          <w:u w:color="000000" w:themeColor="text1"/>
        </w:rPr>
        <w:t>S</w:t>
      </w:r>
      <w:bookmarkEnd w:id="11"/>
      <w:r>
        <w:t xml:space="preserve">ECTION </w:t>
      </w:r>
      <w:r>
        <w:rPr>
          <w:color w:val="000000" w:themeColor="text1"/>
          <w:u w:color="000000" w:themeColor="text1"/>
        </w:rPr>
        <w:t>3</w:t>
      </w:r>
      <w:r w:rsidRPr="00904EAD">
        <w:rPr>
          <w:color w:val="000000" w:themeColor="text1"/>
          <w:u w:color="000000" w:themeColor="text1"/>
        </w:rPr>
        <w:t>.</w:t>
      </w:r>
      <w:r>
        <w:rPr>
          <w:color w:val="000000" w:themeColor="text1"/>
          <w:u w:color="000000" w:themeColor="text1"/>
        </w:rPr>
        <w:tab/>
        <w:t xml:space="preserve">This act takes effect on July </w:t>
      </w:r>
      <w:r w:rsidRPr="00904EAD">
        <w:rPr>
          <w:color w:val="000000" w:themeColor="text1"/>
          <w:u w:color="000000" w:themeColor="text1"/>
        </w:rPr>
        <w:t>1, 20</w:t>
      </w:r>
      <w:r w:rsidR="001A3953">
        <w:rPr>
          <w:color w:val="000000" w:themeColor="text1"/>
          <w:u w:color="000000" w:themeColor="text1"/>
        </w:rPr>
        <w:t>23</w:t>
      </w:r>
      <w:r w:rsidRPr="00904EAD">
        <w:rPr>
          <w:color w:val="000000" w:themeColor="text1"/>
          <w:u w:color="000000" w:themeColor="text1"/>
        </w:rPr>
        <w:t xml:space="preserve">. </w:t>
      </w:r>
    </w:p>
    <w:p w:rsidRPr="00DF3B44" w:rsidR="005516F6" w:rsidP="009E4191" w:rsidRDefault="00A94C81" w14:paraId="7389F665" w14:textId="0D27B880">
      <w:pPr>
        <w:pStyle w:val="scbillendxx"/>
      </w:pPr>
      <w:r>
        <w:noBreakHyphen/>
      </w:r>
      <w:r>
        <w:noBreakHyphen/>
      </w:r>
      <w:r>
        <w:noBreakHyphen/>
      </w:r>
      <w:r>
        <w:noBreakHyphen/>
        <w:t>XX</w:t>
      </w:r>
      <w:r>
        <w:noBreakHyphen/>
      </w:r>
      <w:r>
        <w:noBreakHyphen/>
      </w:r>
      <w:r>
        <w:noBreakHyphen/>
      </w:r>
      <w:r>
        <w:noBreakHyphen/>
      </w:r>
    </w:p>
    <w:sectPr w:rsidRPr="00DF3B44" w:rsidR="005516F6" w:rsidSect="00F174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21686D3" w:rsidR="00685035" w:rsidRPr="007B4AF7" w:rsidRDefault="00F174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94C81">
              <w:rPr>
                <w:noProof/>
              </w:rPr>
              <w:t>LC-0235SA23.docx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3413"/>
    <w:rsid w:val="00074A4F"/>
    <w:rsid w:val="000A3C25"/>
    <w:rsid w:val="000B4C02"/>
    <w:rsid w:val="000B5B4A"/>
    <w:rsid w:val="000B7FE1"/>
    <w:rsid w:val="000C3E88"/>
    <w:rsid w:val="000C46B9"/>
    <w:rsid w:val="000C58E4"/>
    <w:rsid w:val="000C6F9A"/>
    <w:rsid w:val="000D2F44"/>
    <w:rsid w:val="000D33E4"/>
    <w:rsid w:val="000E191F"/>
    <w:rsid w:val="000E578A"/>
    <w:rsid w:val="000F2250"/>
    <w:rsid w:val="0010329A"/>
    <w:rsid w:val="001164F9"/>
    <w:rsid w:val="0011719C"/>
    <w:rsid w:val="00140049"/>
    <w:rsid w:val="001543CE"/>
    <w:rsid w:val="00171601"/>
    <w:rsid w:val="001730EB"/>
    <w:rsid w:val="00173276"/>
    <w:rsid w:val="0019025B"/>
    <w:rsid w:val="00192AF7"/>
    <w:rsid w:val="00197366"/>
    <w:rsid w:val="001A136C"/>
    <w:rsid w:val="001A188C"/>
    <w:rsid w:val="001A3953"/>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7CD"/>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4CF7"/>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4C81"/>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477C4"/>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42B"/>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A39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71&amp;session=125&amp;summary=B" TargetMode="External" Id="R78cf5a94f96b4e27" /><Relationship Type="http://schemas.openxmlformats.org/officeDocument/2006/relationships/hyperlink" Target="https://www.scstatehouse.gov/sess125_2023-2024/prever/4971_20240130.docx" TargetMode="External" Id="R8689385fdda04fca" /><Relationship Type="http://schemas.openxmlformats.org/officeDocument/2006/relationships/hyperlink" Target="h:\hj\20240130.docx" TargetMode="External" Id="Rc63448d429984e4f" /><Relationship Type="http://schemas.openxmlformats.org/officeDocument/2006/relationships/hyperlink" Target="h:\hj\20240130.docx" TargetMode="External" Id="Ref4d9343046c46e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b86f7a0b-ab9a-4d59-a52c-8e7ba9478337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2024-01-30T00:00:00-05:00</T_BILL_DT_VERSION>
  <T_BILL_D_HOUSEINTRODATE>2024-01-30</T_BILL_D_HOUSEINTRODATE>
  <T_BILL_D_INTRODATE>2024-01-30</T_BILL_D_INTRODATE>
  <T_BILL_N_INTERNALVERSIONNUMBER>1</T_BILL_N_INTERNALVERSIONNUMBER>
  <T_BILL_N_SESSION>125</T_BILL_N_SESSION>
  <T_BILL_N_VERSIONNUMBER>1</T_BILL_N_VERSIONNUMBER>
  <T_BILL_N_YEAR>2023</T_BILL_N_YEAR>
  <T_BILL_REQUEST_REQUEST>82b803eb-bae3-48fd-888a-65d6820b5230</T_BILL_REQUEST_REQUEST>
  <T_BILL_R_ORIGINALDRAFT>54c1a847-be13-43f4-b395-07b6ce38808f</T_BILL_R_ORIGINALDRAFT>
  <T_BILL_SPONSOR_SPONSOR>2e504783-107b-48c5-a759-bce6e0a9b247</T_BILL_SPONSOR_SPONSOR>
  <T_BILL_T_BILLNAME>[4971]</T_BILL_T_BILLNAME>
  <T_BILL_T_BILLNUMBER>4971</T_BILL_T_BILLNUMBER>
  <T_BILL_T_BILLTITLE>TO AMEND the south carolina code of laws by amending SECTIONS 9-1-1790 AND 9-11-90, RELATING TO RETIREMENT BENEFITS AFTER RETURNING TO COVERED EMPLOYMENT UNDER THE SOUTH CAROLINA RETIREMENT SYSTEM AND THE POLICE OFFICERS RETIREMENT SYSTEM, RESPECTIVELY, SO AS TO REMOVE THE TEN THOUSAND DOLLAR EARNINGS LIMITATION ON EMPLOYEES RETURNING TO EMPLOYMENT WHO RETIRED BEFORE JANUARY 2, 2025. </T_BILL_T_BILLTITLE>
  <T_BILL_T_CHAMBER>house</T_BILL_T_CHAMBER>
  <T_BILL_T_FILENAME> </T_BILL_T_FILENAME>
  <T_BILL_T_LEGTYPE>bill_statewide</T_BILL_T_LEGTYPE>
  <T_BILL_T_SECTIONS>[{"SectionUUID":"c53b9799-1ecd-464d-9220-2d8359a52322","SectionName":"code_section","SectionNumber":1,"SectionType":"code_section","CodeSections":[{"CodeSectionBookmarkName":"cs_T9C1N1790_36e48a019","IsConstitutionSection":false,"Identity":"9-1-1790","IsNew":false,"SubSections":[{"Level":1,"Identity":"T9C1N1790Sa","SubSectionBookmarkName":"ss_T9C1N1790Sa_lv1_fe462c4f9","IsNewSubSection":false}],"TitleRelatedTo":"Amount which may be earned upon return to covered employment.","TitleSoAsTo":"","Deleted":false}],"TitleText":"","DisableControls":false,"Deleted":false,"RepealItems":[],"SectionBookmarkName":"bs_num_1_4cd799d94"},{"SectionUUID":"463d16d7-9f16-4c77-8fab-85259dfd4659","SectionName":"code_section","SectionNumber":2,"SectionType":"code_section","CodeSections":[{"CodeSectionBookmarkName":"cs_T9C11N90_b6febe318","IsConstitutionSection":false,"Identity":"9-11-90","IsNew":false,"SubSections":[{"Level":1,"Identity":"T9C11N90SA","SubSectionBookmarkName":"ss_T9C11N90SA_lv1_1dba15cb5","IsNewSubSection":false}],"TitleRelatedTo":"Effect of restoring beneficiary to service;  retirement after return to service.","TitleSoAsTo":"","Deleted":false}],"TitleText":"","DisableControls":false,"Deleted":false,"RepealItems":[],"SectionBookmarkName":"bs_num_2_352003db1"},{"SectionUUID":"bc35ada0-5a36-4f1e-b4ae-a784de34a9c0","SectionName":"standard_eff_date_section","SectionNumber":3,"SectionType":"drafting_clause","CodeSections":[],"TitleText":"","DisableControls":false,"Deleted":false,"RepealItems":[],"SectionBookmarkName":"bs_num_3_lastsection"}]</T_BILL_T_SECTIONS>
  <T_BILL_T_SECTIONSHISTORY>[{"Id":1,"SectionsList":[{"SectionUUID":"c53b9799-1ecd-464d-9220-2d8359a52322","SectionName":"code_section","SectionNumber":1,"SectionType":"code_section","CodeSections":[{"CodeSectionBookmarkName":"cs_T9C1N1790_36e48a019","IsConstitutionSection":false,"Identity":"9-1-1790","IsNew":false,"SubSections":[],"TitleRelatedTo":"Amount which may be earned upon return to covered employment.","TitleSoAsTo":"","Deleted":false}],"TitleText":"","DisableControls":false,"Deleted":false,"RepealItems":[],"SectionBookmarkName":"bs_num_1_4cd799d94"},{"SectionUUID":"463d16d7-9f16-4c77-8fab-85259dfd4659","SectionName":"code_section","SectionNumber":2,"SectionType":"code_section","CodeSections":[{"CodeSectionBookmarkName":"cs_T9C11N90_b6febe318","IsConstitutionSection":false,"Identity":"9-11-90","IsNew":false,"SubSections":[],"TitleRelatedTo":"Effect of restoring beneficiary to service;  retirement after return to service.","TitleSoAsTo":"","Deleted":false}],"TitleText":"","DisableControls":false,"Deleted":false,"RepealItems":[],"SectionBookmarkName":"bs_num_2_352003db1"},{"SectionUUID":"bc35ada0-5a36-4f1e-b4ae-a784de34a9c0","SectionName":"standard_eff_date_section","SectionNumber":3,"SectionType":"drafting_clause","CodeSections":[],"TitleText":"","DisableControls":false,"Deleted":false,"RepealItems":[],"SectionBookmarkName":"bs_num_3_lastsection"}],"Timestamp":"2023-02-14T16:33:16.9470856-05:00","Username":null},{"Id":2,"SectionsList":[{"SectionUUID":"c53b9799-1ecd-464d-9220-2d8359a52322","SectionName":"code_section","SectionNumber":1,"SectionType":"code_section","CodeSections":[{"CodeSectionBookmarkName":"cs_T9C1N1790_36e48a019","IsConstitutionSection":false,"Identity":"9-1-1790","IsNew":false,"SubSections":[{"Level":1,"Identity":"T9C1N1790Sa","SubSectionBookmarkName":"ss_T9C1N1790Sa_lv1_fe462c4f9","IsNewSubSection":false}],"TitleRelatedTo":"Amount which may be earned upon return to covered employment.","TitleSoAsTo":"","Deleted":false}],"TitleText":"","DisableControls":false,"Deleted":false,"RepealItems":[],"SectionBookmarkName":"bs_num_1_4cd799d94"},{"SectionUUID":"463d16d7-9f16-4c77-8fab-85259dfd4659","SectionName":"code_section","SectionNumber":2,"SectionType":"code_section","CodeSections":[{"CodeSectionBookmarkName":"cs_T9C11N90_b6febe318","IsConstitutionSection":false,"Identity":"9-11-90","IsNew":false,"SubSections":[{"Level":1,"Identity":"T9C11N90SA","SubSectionBookmarkName":"ss_T9C11N90SA_lv1_1dba15cb5","IsNewSubSection":false}],"TitleRelatedTo":"Effect of restoring beneficiary to service;  retirement after return to service.","TitleSoAsTo":"","Deleted":false}],"TitleText":"","DisableControls":false,"Deleted":false,"RepealItems":[],"SectionBookmarkName":"bs_num_2_352003db1"},{"SectionUUID":"bc35ada0-5a36-4f1e-b4ae-a784de34a9c0","SectionName":"standard_eff_date_section","SectionNumber":3,"SectionType":"drafting_clause","CodeSections":[],"TitleText":"","DisableControls":false,"Deleted":false,"RepealItems":[],"SectionBookmarkName":"bs_num_3_lastsection"}],"Timestamp":"2023-02-15T10:24:26.7001032-05:00","Username":"gwenthurmond@scstatehouse.gov"}]</T_BILL_T_SECTIONSHISTORY>
  <T_BILL_T_SUBJECT>SCRS and PORS earnings limitation</T_BILL_T_SUBJECT>
  <T_BILL_UR_DRAFTER>samanthaallen@scstatehouse.gov</T_BILL_UR_DRAFTER>
  <T_BILL_UR_DRAFTINGASSISTANT>gwenthurmond@scstatehouse.gov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129</Words>
  <Characters>672</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24</cp:revision>
  <cp:lastPrinted>2023-02-15T15:23:00Z</cp:lastPrinted>
  <dcterms:created xsi:type="dcterms:W3CDTF">2022-06-03T11:45:00Z</dcterms:created>
  <dcterms:modified xsi:type="dcterms:W3CDTF">2023-02-15T18:21:00Z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