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Grooms, Kimbrell, Loftis, Davis, Young, Turner, Peeler, Corbin, Garrett, Gambrell, Senn, Rice, Cromer, Shealy and Bennett</w:t>
      </w:r>
    </w:p>
    <w:p>
      <w:pPr>
        <w:widowControl w:val="false"/>
        <w:spacing w:after="0"/>
        <w:jc w:val="left"/>
      </w:pPr>
      <w:r>
        <w:rPr>
          <w:rFonts w:ascii="Times New Roman"/>
          <w:sz w:val="22"/>
        </w:rPr>
        <w:t xml:space="preserve">Companion/Similar bill(s): 3096</w:t>
      </w:r>
    </w:p>
    <w:p>
      <w:pPr>
        <w:widowControl w:val="false"/>
        <w:spacing w:after="0"/>
        <w:jc w:val="left"/>
      </w:pPr>
      <w:r>
        <w:rPr>
          <w:rFonts w:ascii="Times New Roman"/>
          <w:sz w:val="22"/>
        </w:rPr>
        <w:t xml:space="preserve">Document Path: SR-0230KM23.docx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Monuments and Memorials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de30a5fda9d5470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Finance</w:t>
      </w:r>
      <w:r>
        <w:t xml:space="preserve"> (</w:t>
      </w:r>
      <w:hyperlink w:history="true" r:id="R0bd86db73f0c4768">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d9b5321a4945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7d29e05e7d4de1">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4307" w14:paraId="40FEFADA" w14:textId="7A8B3810">
          <w:pPr>
            <w:pStyle w:val="scbilltitle"/>
            <w:tabs>
              <w:tab w:val="left" w:pos="2104"/>
            </w:tabs>
          </w:pPr>
          <w:r>
            <w:t xml:space="preserv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w:t>
          </w:r>
          <w:r w:rsidR="00865B9F">
            <w:t>MUNICIPALITY</w:t>
          </w:r>
          <w:r>
            <w:t xml:space="preserve"> THAT VIOLATES THIS SECTION, </w:t>
          </w:r>
          <w:r w:rsidR="00865B9F">
            <w:t>to provide for the care and preservation of monuments and memorials by certain people or organizations</w:t>
          </w:r>
          <w:r w:rsidR="00006F9D">
            <w:t>;</w:t>
          </w:r>
          <w:r w:rsidR="00865B9F">
            <w:t xml:space="preserve"> </w:t>
          </w:r>
          <w:r>
            <w:t>TO PROVIDE STANDING TO CERTAIN PEOPLE OR ORGANIZATIONS TO BRING A CIVIL ACTION IN RESPONSE TO A VIOLATION OF THIS SECTION</w:t>
          </w:r>
          <w:r w:rsidR="00006F9D">
            <w:t>; and to provide for limitations on the transfer of real property underneath a monument or memorial or the transfer of real property necessary to maintain, access, or view a monument or memorial</w:t>
          </w:r>
          <w:r>
            <w:t>.</w:t>
          </w:r>
        </w:p>
      </w:sdtContent>
    </w:sdt>
    <w:bookmarkStart w:name="at_105a0566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ba5e0d9" w:id="1"/>
      <w:r w:rsidRPr="0094541D">
        <w:t>B</w:t>
      </w:r>
      <w:bookmarkEnd w:id="1"/>
      <w:r w:rsidRPr="0094541D">
        <w:t>e it enacted by the General Assembly of the State of South Carolina:</w:t>
      </w:r>
    </w:p>
    <w:p w:rsidR="0026719E" w:rsidP="0026719E" w:rsidRDefault="0026719E" w14:paraId="0E5E05C1" w14:textId="77777777">
      <w:pPr>
        <w:pStyle w:val="scemptyline"/>
      </w:pPr>
    </w:p>
    <w:p w:rsidR="0026719E" w:rsidP="0026719E" w:rsidRDefault="0026719E" w14:paraId="5DB2014B" w14:textId="3254E5FB">
      <w:pPr>
        <w:pStyle w:val="scdirectionallanguage"/>
      </w:pPr>
      <w:bookmarkStart w:name="bs_num_1_060492553" w:id="2"/>
      <w:r>
        <w:t>S</w:t>
      </w:r>
      <w:bookmarkEnd w:id="2"/>
      <w:r>
        <w:t>ECTION 1.</w:t>
      </w:r>
      <w:r>
        <w:tab/>
      </w:r>
      <w:bookmarkStart w:name="dl_6649ca092" w:id="3"/>
      <w:r>
        <w:t>S</w:t>
      </w:r>
      <w:bookmarkEnd w:id="3"/>
      <w:r>
        <w:t>ection 10‑1‑165(A) of the S.C. Code is amended to read:</w:t>
      </w:r>
    </w:p>
    <w:p w:rsidR="0026719E" w:rsidP="0026719E" w:rsidRDefault="0026719E" w14:paraId="4523EED7" w14:textId="77777777">
      <w:pPr>
        <w:pStyle w:val="scemptyline"/>
      </w:pPr>
    </w:p>
    <w:p w:rsidR="0026719E" w:rsidP="0026719E" w:rsidRDefault="0026719E" w14:paraId="13F77BAD" w14:textId="1720820A">
      <w:pPr>
        <w:pStyle w:val="sccodifiedsection"/>
        <w:rPr/>
      </w:pPr>
      <w:bookmarkStart w:name="cs_T10C1N165_cda9d1ccf" w:id="5"/>
      <w:r>
        <w:tab/>
      </w:r>
      <w:bookmarkStart w:name="ss_T10C1N165SA_lv1_783fc8357" w:id="6"/>
      <w:bookmarkEnd w:id="5"/>
      <w:r>
        <w:t>(</w:t>
      </w:r>
      <w:bookmarkEnd w:id="6"/>
      <w:r>
        <w:t>A)</w:t>
      </w:r>
      <w:bookmarkStart w:name="ss_T10C1N165S1_lv2_009450898" w:id="7"/>
      <w:r>
        <w:rPr>
          <w:rStyle w:val="scinsert"/>
        </w:rPr>
        <w:t>(</w:t>
      </w:r>
      <w:bookmarkEnd w:id="7"/>
      <w:r>
        <w:rPr>
          <w:rStyle w:val="scinsert"/>
        </w:rPr>
        <w:t>1)</w:t>
      </w:r>
      <w:r>
        <w:t xml:space="preserve"> No </w:t>
      </w:r>
      <w:r>
        <w:rPr>
          <w:rStyle w:val="scinsert"/>
        </w:rPr>
        <w:t xml:space="preserve">colonial war, </w:t>
      </w:r>
      <w:r>
        <w:t xml:space="preserve">Revolutionary War, War of 1812, Mexican War, War Between the States, Spanish‑American War, World War I, World War II, Korean War, Vietnam War, Persian Gulf War, </w:t>
      </w:r>
      <w:r>
        <w:rPr>
          <w:rStyle w:val="scinsert"/>
        </w:rPr>
        <w:t xml:space="preserve">any armed conflict involving South Carolinians, </w:t>
      </w:r>
      <w:r>
        <w:t xml:space="preserve">Native American, or African‑American History monuments or memorials erected on public property of the State or any of its political subdivisions may be relocated, removed, disturbed, or altered. No </w:t>
      </w:r>
      <w:r>
        <w:rPr>
          <w:rStyle w:val="scinsert"/>
        </w:rPr>
        <w:t>historical monument or memoria</w:t>
      </w:r>
      <w:r>
        <w:rPr>
          <w:rStyle w:val="scinsert"/>
        </w:rPr>
        <w:t xml:space="preserve">l, including, but not limited to, any </w:t>
      </w:r>
      <w:r>
        <w:t>street, bridge, structure, park, preserve, reserve,</w:t>
      </w:r>
      <w:r>
        <w:rPr>
          <w:rStyle w:val="scinsert"/>
        </w:rPr>
        <w:t xml:space="preserve"> installation, nameplate</w:t>
      </w:r>
      <w:r>
        <w:t xml:space="preserve"> or other public area of the State or any of its political subdivisions dedicated in memory of or named for any historic figure</w:t>
      </w:r>
      <w:r>
        <w:rPr>
          <w:rStyle w:val="scinsert"/>
        </w:rPr>
        <w:t>,</w:t>
      </w:r>
      <w:r>
        <w:t xml:space="preserve"> </w:t>
      </w:r>
      <w:r>
        <w:rPr>
          <w:rStyle w:val="scstrike"/>
        </w:rPr>
        <w:t xml:space="preserve">or </w:t>
      </w:r>
      <w:r>
        <w:rPr>
          <w:rStyle w:val="scinsert"/>
        </w:rPr>
        <w:t xml:space="preserve">public figure, person, </w:t>
      </w:r>
      <w:r>
        <w:t>historic event</w:t>
      </w:r>
      <w:r>
        <w:rPr>
          <w:rStyle w:val="scinsert"/>
        </w:rPr>
        <w:t>, commemorated event, celebrated event, occurrence, commemoration, memorial, recogni</w:t>
      </w:r>
      <w:r>
        <w:rPr>
          <w:rStyle w:val="scinsert"/>
        </w:rPr>
        <w:t>tion, or any other facts resulting in the placement of the monument or memorial on public property</w:t>
      </w:r>
      <w:r>
        <w:t xml:space="preserve"> may be </w:t>
      </w:r>
      <w:r>
        <w:rPr>
          <w:rStyle w:val="scinsert"/>
        </w:rPr>
        <w:t xml:space="preserve">relocated, removed, disturbed, altered, </w:t>
      </w:r>
      <w:r>
        <w:t>renamed or rededicated. No person may prevent the public body responsible for the monument or memorial from taking proper measures and exercising proper means for the protection, preservation, and care of these monuments, memorials, or nameplates.</w:t>
      </w:r>
    </w:p>
    <w:p w:rsidR="0026719E" w:rsidP="0026719E" w:rsidRDefault="0026719E" w14:paraId="71A7AA05" w14:textId="34A9B2D4">
      <w:pPr>
        <w:pStyle w:val="sccodifiedsection"/>
        <w:rPr/>
      </w:pPr>
      <w:r>
        <w:rPr>
          <w:rStyle w:val="scinsert"/>
        </w:rPr>
        <w:tab/>
      </w:r>
      <w:r>
        <w:rPr>
          <w:rStyle w:val="scinsert"/>
        </w:rPr>
        <w:tab/>
      </w:r>
      <w:bookmarkStart w:name="ss_T10C1N165S2_lv2_e6db0de1f" w:id="22"/>
      <w:r>
        <w:rPr>
          <w:rStyle w:val="scinsert"/>
        </w:rPr>
        <w:t>(</w:t>
      </w:r>
      <w:bookmarkEnd w:id="22"/>
      <w:r>
        <w:rPr>
          <w:rStyle w:val="scinsert"/>
        </w:rPr>
        <w:t xml:space="preserve">2) If a county or municipality violates the provisions of </w:t>
      </w:r>
      <w:r>
        <w:rPr>
          <w:rStyle w:val="scinsert"/>
        </w:rPr>
        <w:t>item</w:t>
      </w:r>
      <w:r>
        <w:rPr>
          <w:rStyle w:val="scinsert"/>
        </w:rPr>
        <w:t xml:space="preserve"> (1), then the Treasurer shall withhold all disbursements from the Local Government Fund for that county or municipality until </w:t>
      </w:r>
      <w:r>
        <w:rPr>
          <w:rStyle w:val="scinsert"/>
        </w:rPr>
        <w:t>the violation is corrected.</w:t>
      </w:r>
    </w:p>
    <w:p w:rsidR="0026719E" w:rsidP="0026719E" w:rsidRDefault="0026719E" w14:paraId="0F5BC8F7" w14:textId="306612D4">
      <w:pPr>
        <w:pStyle w:val="sccodifiedsection"/>
        <w:rPr/>
      </w:pPr>
      <w:r>
        <w:rPr>
          <w:rStyle w:val="scinsert"/>
        </w:rPr>
        <w:lastRenderedPageBreak/>
        <w:tab/>
      </w:r>
      <w:r>
        <w:rPr>
          <w:rStyle w:val="scinsert"/>
        </w:rPr>
        <w:tab/>
      </w:r>
      <w:bookmarkStart w:name="ss_T10C1N165S3_lv2_7f3d3e75c" w:id="28"/>
      <w:r>
        <w:rPr>
          <w:rStyle w:val="scinsert"/>
        </w:rPr>
        <w:t>(</w:t>
      </w:r>
      <w:bookmarkEnd w:id="28"/>
      <w:r>
        <w:rPr>
          <w:rStyle w:val="scinsert"/>
        </w:rPr>
        <w:t xml:space="preserve">3) </w:t>
      </w:r>
      <w:r>
        <w:rPr>
          <w:rStyle w:val="scinsert"/>
        </w:rPr>
        <w:t xml:space="preserve">A county or municipality in which a monument or memorial subject to the provisions contained in </w:t>
      </w:r>
      <w:r>
        <w:rPr>
          <w:rStyle w:val="scinsert"/>
        </w:rPr>
        <w:t xml:space="preserve">item (1) </w:t>
      </w:r>
      <w:r w:rsidRPr="00983D26" w:rsidR="00983D26">
        <w:rPr>
          <w:rStyle w:val="scinsert"/>
        </w:rPr>
        <w:t>is located</w:t>
      </w:r>
      <w:r w:rsidR="00983D26">
        <w:rPr>
          <w:rStyle w:val="scinsert"/>
        </w:rPr>
        <w:t xml:space="preserve"> </w:t>
      </w:r>
      <w:r>
        <w:rPr>
          <w:rStyle w:val="scinsert"/>
        </w:rPr>
        <w:t xml:space="preserve">may enter into an agreement with a person </w:t>
      </w:r>
      <w:r w:rsidR="00865B9F">
        <w:rPr>
          <w:rStyle w:val="scinsert"/>
        </w:rPr>
        <w:t xml:space="preserve">having an affinity with the monument or memorial </w:t>
      </w:r>
      <w:r>
        <w:rPr>
          <w:rStyle w:val="scinsert"/>
        </w:rPr>
        <w:t xml:space="preserve">or </w:t>
      </w:r>
      <w:r w:rsidR="004B4011">
        <w:rPr>
          <w:rStyle w:val="scinsert"/>
        </w:rPr>
        <w:t xml:space="preserve">affinity </w:t>
      </w:r>
      <w:r>
        <w:rPr>
          <w:rStyle w:val="scinsert"/>
        </w:rPr>
        <w:t xml:space="preserve">organization </w:t>
      </w:r>
      <w:r w:rsidR="00420EED">
        <w:rPr>
          <w:rStyle w:val="scinsert"/>
        </w:rPr>
        <w:t>for the care and preservation of the mon</w:t>
      </w:r>
      <w:r w:rsidR="00420EED">
        <w:rPr>
          <w:rStyle w:val="scinsert"/>
        </w:rPr>
        <w:t>ument or memorial.</w:t>
      </w:r>
    </w:p>
    <w:p w:rsidR="00420EED" w:rsidP="0026719E" w:rsidRDefault="00420EED" w14:paraId="3609B211" w14:textId="202BA3DD">
      <w:pPr>
        <w:pStyle w:val="sccodifiedsection"/>
        <w:rPr/>
      </w:pPr>
      <w:r>
        <w:rPr>
          <w:rStyle w:val="scinsert"/>
        </w:rPr>
        <w:tab/>
      </w:r>
      <w:r>
        <w:rPr>
          <w:rStyle w:val="scinsert"/>
        </w:rPr>
        <w:tab/>
      </w:r>
      <w:bookmarkStart w:name="ss_T10C1N165S4_lv2_f8a2f3be8" w:id="41"/>
      <w:r>
        <w:rPr>
          <w:rStyle w:val="scinsert"/>
        </w:rPr>
        <w:t>(</w:t>
      </w:r>
      <w:bookmarkEnd w:id="41"/>
      <w:r>
        <w:rPr>
          <w:rStyle w:val="scinsert"/>
        </w:rPr>
        <w:t xml:space="preserve">4) A person </w:t>
      </w:r>
      <w:r>
        <w:rPr>
          <w:rStyle w:val="scinsert"/>
        </w:rPr>
        <w:t xml:space="preserve">having </w:t>
      </w:r>
      <w:r>
        <w:rPr>
          <w:rStyle w:val="scinsert"/>
        </w:rPr>
        <w:t xml:space="preserve">an affinity for a monument or memorial </w:t>
      </w:r>
      <w:r>
        <w:rPr>
          <w:rStyle w:val="scinsert"/>
        </w:rPr>
        <w:t xml:space="preserve">subject to the provisions of item (1) </w:t>
      </w:r>
      <w:r w:rsidR="004B4011">
        <w:rPr>
          <w:rStyle w:val="scinsert"/>
        </w:rPr>
        <w:t>or a</w:t>
      </w:r>
      <w:r w:rsidR="004B4011">
        <w:rPr>
          <w:rStyle w:val="scinsert"/>
        </w:rPr>
        <w:t xml:space="preserve">n affinity organization </w:t>
      </w:r>
      <w:r>
        <w:rPr>
          <w:rStyle w:val="scinsert"/>
        </w:rPr>
        <w:t xml:space="preserve">may bring a civil action </w:t>
      </w:r>
      <w:r>
        <w:rPr>
          <w:rStyle w:val="scinsert"/>
        </w:rPr>
        <w:t>in response to a violation of this section to recover damages and the cost of restoration and repair of the property, including attorney's fees and court costs. When the violation is under color of law or by any government</w:t>
      </w:r>
      <w:r>
        <w:rPr>
          <w:rStyle w:val="scinsert"/>
        </w:rPr>
        <w:t>al agency, the recovery may be for treble damages in addition to the cost of the restoration and repair of the property, plus attorney's fees and court costs.</w:t>
      </w:r>
    </w:p>
    <w:p w:rsidR="00006F9D" w:rsidP="0026719E" w:rsidRDefault="00006F9D" w14:paraId="453A1C78" w14:textId="485DD202">
      <w:pPr>
        <w:pStyle w:val="sccodifiedsection"/>
        <w:rPr/>
      </w:pPr>
      <w:r>
        <w:rPr>
          <w:rStyle w:val="scinsert"/>
        </w:rPr>
        <w:tab/>
      </w:r>
      <w:r>
        <w:rPr>
          <w:rStyle w:val="scinsert"/>
        </w:rPr>
        <w:tab/>
      </w:r>
      <w:bookmarkStart w:name="ss_T10C1N165S5_lv2_c44ec797b" w:id="52"/>
      <w:r>
        <w:rPr>
          <w:rStyle w:val="scinsert"/>
        </w:rPr>
        <w:t>(</w:t>
      </w:r>
      <w:bookmarkEnd w:id="52"/>
      <w:r>
        <w:rPr>
          <w:rStyle w:val="scinsert"/>
        </w:rPr>
        <w:t xml:space="preserve">5) </w:t>
      </w:r>
      <w:r>
        <w:rPr>
          <w:rStyle w:val="scinsert"/>
        </w:rPr>
        <w:t xml:space="preserve">A county, municipality, or other political subdivision of the State, including a school district, may not transfer ownership of the real property underneath a monument or memorial </w:t>
      </w:r>
      <w:r>
        <w:rPr>
          <w:rStyle w:val="scinsert"/>
        </w:rPr>
        <w:t>subject to the provisions of item (1), or transfer ownership of any real property nece</w:t>
      </w:r>
      <w:r>
        <w:rPr>
          <w:rStyle w:val="scinsert"/>
        </w:rPr>
        <w:t xml:space="preserve">ssary to access, maintain, or view the monument or memorial unless the transfer of ownership is to an affinity organization that has been located in South Carolina </w:t>
      </w:r>
      <w:r>
        <w:rPr>
          <w:rStyle w:val="scinsert"/>
        </w:rPr>
        <w:t xml:space="preserve">for at least ten years and </w:t>
      </w:r>
      <w:r w:rsidR="00983D26">
        <w:rPr>
          <w:rStyle w:val="scinsert"/>
        </w:rPr>
        <w:t>that</w:t>
      </w:r>
      <w:r>
        <w:rPr>
          <w:rStyle w:val="scinsert"/>
        </w:rPr>
        <w:t xml:space="preserve"> has a primary purpose to the honor the person, people, or event which is the subject of the monument or memorial. To effectuate a </w:t>
      </w:r>
      <w:r>
        <w:rPr>
          <w:rStyle w:val="scinsert"/>
        </w:rPr>
        <w:t xml:space="preserve">transfer of ownership pursuant to this section, the affinity organization to which the real property is transferred must </w:t>
      </w:r>
      <w:proofErr w:type="gramStart"/>
      <w:r>
        <w:rPr>
          <w:rStyle w:val="scinsert"/>
        </w:rPr>
        <w:t>enter into</w:t>
      </w:r>
      <w:proofErr w:type="gramEnd"/>
      <w:r>
        <w:rPr>
          <w:rStyle w:val="scinsert"/>
        </w:rPr>
        <w:t xml:space="preserve"> a covenant to maintain the monument or memorial in its current location an</w:t>
      </w:r>
      <w:r>
        <w:rPr>
          <w:rStyle w:val="scinsert"/>
        </w:rPr>
        <w:t>d at the expense of the affinity organization.</w:t>
      </w:r>
    </w:p>
    <w:p w:rsidR="00420EED" w:rsidP="0026719E" w:rsidRDefault="00420EED" w14:paraId="306B916A" w14:textId="47BA4232">
      <w:pPr>
        <w:pStyle w:val="sccodifiedsection"/>
      </w:pPr>
      <w:r>
        <w:rPr>
          <w:rStyle w:val="scinsert"/>
        </w:rPr>
        <w:tab/>
      </w:r>
      <w:r>
        <w:rPr>
          <w:rStyle w:val="scinsert"/>
        </w:rPr>
        <w:tab/>
      </w:r>
      <w:bookmarkStart w:name="ss_T10C1N165S6_lv2_806d85922" w:id="62"/>
      <w:r>
        <w:rPr>
          <w:rStyle w:val="scinsert"/>
        </w:rPr>
        <w:t>(</w:t>
      </w:r>
      <w:bookmarkEnd w:id="62"/>
      <w:r w:rsidR="00006F9D">
        <w:rPr>
          <w:rStyle w:val="scinsert"/>
        </w:rPr>
        <w:t>6</w:t>
      </w:r>
      <w:r>
        <w:rPr>
          <w:rStyle w:val="scinsert"/>
        </w:rPr>
        <w:t>) For the purposes of this sub</w:t>
      </w:r>
      <w:r w:rsidR="00006F9D">
        <w:rPr>
          <w:rStyle w:val="scinsert"/>
        </w:rPr>
        <w:t>s</w:t>
      </w:r>
      <w:r>
        <w:rPr>
          <w:rStyle w:val="scinsert"/>
        </w:rPr>
        <w:t xml:space="preserve">ection, </w:t>
      </w:r>
      <w:r>
        <w:rPr>
          <w:rStyle w:val="scinsert"/>
        </w:rPr>
        <w:t xml:space="preserve">an “affinity organization” means an organization with a purpose, primary or otherwise, </w:t>
      </w:r>
      <w:r w:rsidR="00983D26">
        <w:rPr>
          <w:rStyle w:val="scinsert"/>
        </w:rPr>
        <w:t xml:space="preserve">to </w:t>
      </w:r>
      <w:r>
        <w:rPr>
          <w:rStyle w:val="scinsert"/>
        </w:rPr>
        <w:t xml:space="preserve">honor a particular event, people, or </w:t>
      </w:r>
      <w:proofErr w:type="gramStart"/>
      <w:r>
        <w:rPr>
          <w:rStyle w:val="scinsert"/>
        </w:rPr>
        <w:t>time period</w:t>
      </w:r>
      <w:proofErr w:type="gramEnd"/>
      <w:r>
        <w:rPr>
          <w:rStyle w:val="scinsert"/>
        </w:rPr>
        <w:t>, including, but not limited to, historical or heritage organizations.</w:t>
      </w:r>
    </w:p>
    <w:p w:rsidRPr="00DF3B44" w:rsidR="007E06BB" w:rsidP="00787433" w:rsidRDefault="007E06BB" w14:paraId="3D8F1FED" w14:textId="480F748F">
      <w:pPr>
        <w:pStyle w:val="scemptyline"/>
      </w:pPr>
    </w:p>
    <w:p w:rsidRPr="00DF3B44" w:rsidR="007A10F1" w:rsidP="007A10F1" w:rsidRDefault="0026719E" w14:paraId="0E9393B4" w14:textId="06D13F57">
      <w:pPr>
        <w:pStyle w:val="scnoncodifiedsection"/>
      </w:pPr>
      <w:bookmarkStart w:name="bs_num_2_lastsection" w:id="70"/>
      <w:bookmarkStart w:name="eff_date_section" w:id="71"/>
      <w:bookmarkStart w:name="_Hlk77157096" w:id="72"/>
      <w:r>
        <w:t>S</w:t>
      </w:r>
      <w:bookmarkEnd w:id="70"/>
      <w:r>
        <w:t>ECTION 2.</w:t>
      </w:r>
      <w:r w:rsidRPr="00DF3B44" w:rsidR="005D3013">
        <w:tab/>
      </w:r>
      <w:r w:rsidRPr="00DF3B44" w:rsidR="007A10F1">
        <w:t>This act takes effect upon approval by the Governor.</w:t>
      </w:r>
      <w:bookmarkEnd w:id="71"/>
    </w:p>
    <w:bookmarkEnd w:id="7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34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C1522D" w:rsidR="00685035" w:rsidRPr="007B4AF7" w:rsidRDefault="008034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719E">
              <w:rPr>
                <w:noProof/>
              </w:rPr>
              <w:t>SR-0230KM23.docx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9D"/>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19E"/>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307"/>
    <w:rsid w:val="004046B5"/>
    <w:rsid w:val="00406F27"/>
    <w:rsid w:val="004141B8"/>
    <w:rsid w:val="004203B9"/>
    <w:rsid w:val="00420EED"/>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011"/>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422"/>
    <w:rsid w:val="00816D52"/>
    <w:rsid w:val="00831048"/>
    <w:rsid w:val="00834272"/>
    <w:rsid w:val="008625C1"/>
    <w:rsid w:val="00865B9F"/>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3D26"/>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7D2"/>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671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amp;session=125&amp;summary=B" TargetMode="External" Id="Rdcd9b5321a49455f" /><Relationship Type="http://schemas.openxmlformats.org/officeDocument/2006/relationships/hyperlink" Target="https://www.scstatehouse.gov/sess125_2023-2024/prever/527_20230209.docx" TargetMode="External" Id="Rb97d29e05e7d4de1" /><Relationship Type="http://schemas.openxmlformats.org/officeDocument/2006/relationships/hyperlink" Target="h:\sj\20230209.docx" TargetMode="External" Id="Rde30a5fda9d54706" /><Relationship Type="http://schemas.openxmlformats.org/officeDocument/2006/relationships/hyperlink" Target="h:\sj\20230209.docx" TargetMode="External" Id="R0bd86db73f0c47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62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19391f93-1956-4a1f-a93f-28620ae0c200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3751d774-b5e0-45e9-a481-7942eb4189e2</T_BILL_REQUEST_REQUEST>
  <T_BILL_R_ORIGINALDRAFT>6228bfe4-104e-4109-a44e-dbf2640d8226</T_BILL_R_ORIGINALDRAFT>
  <T_BILL_SPONSOR_SPONSOR>fbadc7c4-bc29-4760-8fb5-dbf6abd6118e</T_BILL_SPONSOR_SPONSOR>
  <T_BILL_T_ACTNUMBER>None</T_BILL_T_ACTNUMBER>
  <T_BILL_T_BILLNAME>[0527]</T_BILL_T_BILLNAME>
  <T_BILL_T_BILLNUMBER>527</T_BILL_T_BILLNUMBER>
  <T_BILL_T_BILLTITL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and to provide for limitations on the transfer of real property underneath a monument or memorial or the transfer of real property necessary to maintain, access, or view a monument or memorial.</T_BILL_T_BILLTITLE>
  <T_BILL_T_CHAMBER>senate</T_BILL_T_CHAMBER>
  <T_BILL_T_FILENAME> </T_BILL_T_FILENAME>
  <T_BILL_T_LEGTYPE>bill_statewide</T_BILL_T_LEGTYPE>
  <T_BILL_T_RATNUMBER>None</T_BILL_T_RATNUMBER>
  <T_BILL_T_SECTIONS>[{"SectionUUID":"d05672d4-e674-4b67-bb01-654aeb37d570","SectionName":"code_section","SectionNumber":1,"SectionType":"code_section","CodeSections":[{"CodeSectionBookmarkName":"cs_T10C1N165_cda9d1ccf","IsConstitutionSection":false,"Identity":"10-1-165","IsNew":false,"SubSections":[{"Level":1,"Identity":"T10C1N165SA","SubSectionBookmarkName":"ss_T10C1N165SA_lv1_783fc8357","IsNewSubSection":false},{"Level":2,"Identity":"T10C1N165S1","SubSectionBookmarkName":"ss_T10C1N165S1_lv2_009450898","IsNewSubSection":false},{"Level":2,"Identity":"T10C1N165S2","SubSectionBookmarkName":"ss_T10C1N165S2_lv2_e6db0de1f","IsNewSubSection":false},{"Level":2,"Identity":"T10C1N165S3","SubSectionBookmarkName":"ss_T10C1N165S3_lv2_7f3d3e75c","IsNewSubSection":false},{"Level":2,"Identity":"T10C1N165S4","SubSectionBookmarkName":"ss_T10C1N165S4_lv2_f8a2f3be8","IsNewSubSection":false},{"Level":2,"Identity":"T10C1N165S5","SubSectionBookmarkName":"ss_T10C1N165S5_lv2_c44ec797b","IsNewSubSection":false},{"Level":2,"Identity":"T10C1N165S6","SubSectionBookmarkName":"ss_T10C1N165S6_lv2_806d85922","IsNewSubSection":false}],"TitleRelatedTo":"the Protection of certain monuments and memorials","TitleSoAsTo":"expand the type of monuments or memorials that may not be relocated, removed, or disturbed, to withhold disbursements from the local government fund for any county or municpality that violates this section, and to provide standing to certain people or organizations to bring a civil action in response to a violation of this section","Deleted":false}],"TitleText":"","DisableControls":false,"Deleted":false,"RepealItems":[],"SectionBookmarkName":"bs_num_1_060492553"},{"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d05672d4-e674-4b67-bb01-654aeb37d570","SectionName":"code_section","SectionNumber":1,"SectionType":"code_section","CodeSections":[{"CodeSectionBookmarkName":"cs_T10C1N165_cda9d1ccf","IsConstitutionSection":false,"Identity":"10-1-165","IsNew":false,"SubSections":[{"Level":1,"Identity":"T10C1N165SA","SubSectionBookmarkName":"ss_T10C1N165SA_lv1_783fc8357","IsNewSubSection":false}],"TitleRelatedTo":"the Protection of certain monuments and memorials","TitleSoAsTo":"expand the type of monuments or memorials that may not be relocated, removed, or disturbed, to withhold disbursements from the local government fund for any county or municpality that violates this section, and to provide standing to certain people or organizations to bring a civil action in response to a violation of this section","Deleted":false}],"TitleText":"","DisableControls":false,"Deleted":false,"RepealItems":[],"SectionBookmarkName":"bs_num_1_060492553"},{"SectionUUID":"8f03ca95-8faa-4d43-a9c2-8afc498075bd","SectionName":"standard_eff_date_section","SectionNumber":2,"SectionType":"drafting_clause","CodeSections":[],"TitleText":"","DisableControls":false,"Deleted":false,"RepealItems":[],"SectionBookmarkName":"bs_num_2_lastsection"}],"Timestamp":"2023-01-20T15:33:10.834085-05:00","Username":null},{"Id":1,"SectionsList":[{"SectionUUID":"8f03ca95-8faa-4d43-a9c2-8afc498075bd","SectionName":"standard_eff_date_section","SectionNumber":2,"SectionType":"drafting_clause","CodeSections":[],"TitleText":"","DisableControls":false,"Deleted":false,"RepealItems":[],"SectionBookmarkName":"bs_num_2_lastsection"},{"SectionUUID":"d05672d4-e674-4b67-bb01-654aeb37d570","SectionName":"code_section","SectionNumber":1,"SectionType":"code_section","CodeSections":[{"CodeSectionBookmarkName":"cs_T10C1N165_cda9d1ccf","IsConstitutionSection":false,"Identity":"10-1-165","IsNew":false,"SubSections":[{"Level":1,"Identity":"T10C1N165SA","SubSectionBookmarkName":"ss_T10C1N165SA_lv1_783fc8357","IsNewSubSection":false}],"TitleRelatedTo":"Protection of certain monuments and memorials.","TitleSoAsTo":"","Deleted":false}],"TitleText":"","DisableControls":false,"Deleted":false,"RepealItems":[],"SectionBookmarkName":"bs_num_1_060492553"}],"Timestamp":"2023-01-20T15:03:24.664209-05:00","Username":null},{"Id":3,"SectionsList":[{"SectionUUID":"d05672d4-e674-4b67-bb01-654aeb37d570","SectionName":"code_section","SectionNumber":1,"SectionType":"code_section","CodeSections":[{"CodeSectionBookmarkName":"cs_T10C1N165_cda9d1ccf","IsConstitutionSection":false,"Identity":"10-1-165","IsNew":false,"SubSections":[{"Level":1,"Identity":"T10C1N165SA","SubSectionBookmarkName":"ss_T10C1N165SA_lv1_783fc8357","IsNewSubSection":false},{"Level":2,"Identity":"T10C1N165S1","SubSectionBookmarkName":"ss_T10C1N165S1_lv2_009450898","IsNewSubSection":false},{"Level":2,"Identity":"T10C1N165S2","SubSectionBookmarkName":"ss_T10C1N165S2_lv2_e6db0de1f","IsNewSubSection":false},{"Level":2,"Identity":"T10C1N165S3","SubSectionBookmarkName":"ss_T10C1N165S3_lv2_7f3d3e75c","IsNewSubSection":false},{"Level":2,"Identity":"T10C1N165S4","SubSectionBookmarkName":"ss_T10C1N165S4_lv2_f8a2f3be8","IsNewSubSection":false},{"Level":2,"Identity":"T10C1N165S5","SubSectionBookmarkName":"ss_T10C1N165S5_lv2_c44ec797b","IsNewSubSection":false},{"Level":2,"Identity":"T10C1N165S6","SubSectionBookmarkName":"ss_T10C1N165S6_lv2_806d85922","IsNewSubSection":false}],"TitleRelatedTo":"the Protection of certain monuments and memorials","TitleSoAsTo":"expand the type of monuments or memorials that may not be relocated, removed, or disturbed, to withhold disbursements from the local government fund for any county or municpality that violates this section, and to provide standing to certain people or organizations to bring a civil action in response to a violation of this section","Deleted":false}],"TitleText":"","DisableControls":false,"Deleted":false,"RepealItems":[],"SectionBookmarkName":"bs_num_1_060492553"},{"SectionUUID":"8f03ca95-8faa-4d43-a9c2-8afc498075bd","SectionName":"standard_eff_date_section","SectionNumber":2,"SectionType":"drafting_clause","CodeSections":[],"TitleText":"","DisableControls":false,"Deleted":false,"RepealItems":[],"SectionBookmarkName":"bs_num_2_lastsection"}],"Timestamp":"2023-02-08T10:37:14.292933-05:00","Username":"hannahwarner@scsenate.gov"}]</T_BILL_T_SECTIONSHISTORY>
  <T_BILL_T_SUBJECT>Monuments and Memorials</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701</Words>
  <Characters>3681</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20</cp:revision>
  <dcterms:created xsi:type="dcterms:W3CDTF">2022-06-03T11:45:00Z</dcterms:created>
  <dcterms:modified xsi:type="dcterms:W3CDTF">2023-02-08T15:37:00Z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