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SR-0056KM23.docx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Unfair trade practices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d1bf7822de8474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4a9dd45e07ec4c5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0362df38b1432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da66e638d154c19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75FCD" w14:paraId="40FEFADA" w14:textId="039ED3E9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39-5-45 so as to PROVIDE THAT A PERSON WHO ACCEPTS A CHECK FOR A DEFERRED PRESENTMENT TRANSACTION VIOLATES THE SOUTH CAROLINA UNFAIR TRADE PRACTICES ACT; and TO REPEAL CHAPTER 39, TITLE 34 OF THE </w:t>
          </w:r>
          <w:r w:rsidR="00911868">
            <w:t>SOUTH CAROLINA CODE OF LAWS</w:t>
          </w:r>
          <w:r>
            <w:t>, RELATING TO DEFERRED PRESENTMENT SERVICES.</w:t>
          </w:r>
        </w:p>
      </w:sdtContent>
    </w:sdt>
    <w:bookmarkStart w:name="at_e3897fce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B02E2A" w:rsidP="00B02E2A" w:rsidRDefault="00B02E2A" w14:paraId="69FBB5DD" w14:textId="77777777">
      <w:pPr>
        <w:pStyle w:val="scenactingwords"/>
      </w:pPr>
      <w:bookmarkStart w:name="ew_a1c49694e" w:id="1"/>
      <w:r>
        <w:rPr>
          <w:rFonts w:eastAsia="Times New Roman"/>
        </w:rPr>
        <w:t>B</w:t>
      </w:r>
      <w:bookmarkEnd w:id="1"/>
      <w:r>
        <w:rPr>
          <w:rFonts w:eastAsia="Times New Roman"/>
        </w:rPr>
        <w:t>e it enacted by the General Assembly of the State of South Carolina:</w:t>
      </w:r>
    </w:p>
    <w:p w:rsidR="00B02E2A" w:rsidP="00B02E2A" w:rsidRDefault="00B02E2A" w14:paraId="787CBD78" w14:textId="77777777">
      <w:pPr>
        <w:pStyle w:val="scemptyline"/>
      </w:pPr>
    </w:p>
    <w:p w:rsidR="00B02E2A" w:rsidP="00B02E2A" w:rsidRDefault="00B02E2A" w14:paraId="647DA1CC" w14:textId="725CC871">
      <w:pPr>
        <w:pStyle w:val="scdirectionallanguage"/>
      </w:pPr>
      <w:bookmarkStart w:name="bs_num_1_9e4e195fb" w:id="2"/>
      <w:r>
        <w:rPr>
          <w:rFonts w:eastAsia="Times New Roman"/>
        </w:rPr>
        <w:t>S</w:t>
      </w:r>
      <w:bookmarkEnd w:id="2"/>
      <w:r>
        <w:t xml:space="preserve">ECTION </w:t>
      </w:r>
      <w:r>
        <w:rPr>
          <w:rFonts w:eastAsia="Times New Roman"/>
        </w:rPr>
        <w:t>1.</w:t>
      </w:r>
      <w:r>
        <w:tab/>
      </w:r>
      <w:bookmarkStart w:name="dl_247ab96ce" w:id="3"/>
      <w:r>
        <w:rPr>
          <w:rFonts w:eastAsia="Times New Roman"/>
        </w:rPr>
        <w:t>A</w:t>
      </w:r>
      <w:bookmarkEnd w:id="3"/>
      <w:r>
        <w:t xml:space="preserve">rticle 1, Chapter 5, Title 39 of the </w:t>
      </w:r>
      <w:r w:rsidR="006C2040">
        <w:t>S.C.</w:t>
      </w:r>
      <w:r>
        <w:t xml:space="preserve"> Code is amended by adding:</w:t>
      </w:r>
    </w:p>
    <w:p w:rsidR="00B02E2A" w:rsidP="00B02E2A" w:rsidRDefault="00B02E2A" w14:paraId="42B4FD08" w14:textId="77777777">
      <w:pPr>
        <w:pStyle w:val="scemptyline"/>
      </w:pPr>
    </w:p>
    <w:p w:rsidR="00B02E2A" w:rsidP="00B02E2A" w:rsidRDefault="00B02E2A" w14:paraId="345BE14A" w14:textId="77777777">
      <w:pPr>
        <w:pStyle w:val="scnewcodesection"/>
      </w:pPr>
      <w:bookmarkStart w:name="ns_T39C5N45_dea8d043e" w:id="4"/>
      <w:r>
        <w:tab/>
      </w:r>
      <w:bookmarkEnd w:id="4"/>
      <w:r>
        <w:rPr>
          <w:rFonts w:eastAsia="Times New Roman"/>
        </w:rPr>
        <w:t>Section 39-5-45.</w:t>
      </w:r>
      <w:r>
        <w:rPr>
          <w:rFonts w:eastAsia="Times New Roman"/>
        </w:rPr>
        <w:tab/>
        <w:t>(A)</w:t>
      </w:r>
      <w:r>
        <w:t xml:space="preserve"> </w:t>
      </w:r>
      <w:r>
        <w:rPr>
          <w:rFonts w:eastAsia="Times New Roman"/>
        </w:rPr>
        <w:t>For the purposes of this section:</w:t>
      </w:r>
    </w:p>
    <w:p w:rsidR="00B02E2A" w:rsidP="00B02E2A" w:rsidRDefault="00B02E2A" w14:paraId="43DEB55D" w14:textId="186718C4">
      <w:pPr>
        <w:pStyle w:val="scnewcodesection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bookmarkStart w:name="ss_T39C5N45S1_lv1_a863c5999" w:id="5"/>
      <w:r>
        <w:rPr>
          <w:rFonts w:eastAsia="Times New Roman"/>
        </w:rPr>
        <w:t>(</w:t>
      </w:r>
      <w:bookmarkEnd w:id="5"/>
      <w:r>
        <w:rPr>
          <w:rFonts w:eastAsia="Times New Roman"/>
        </w:rPr>
        <w:t>1)</w:t>
      </w:r>
      <w:r>
        <w:t xml:space="preserve"> </w:t>
      </w:r>
      <w:r w:rsidR="00CE5E26">
        <w:rPr>
          <w:rFonts w:eastAsia="Times New Roman"/>
        </w:rPr>
        <w:t>“</w:t>
      </w:r>
      <w:r>
        <w:rPr>
          <w:rFonts w:eastAsia="Times New Roman"/>
        </w:rPr>
        <w:t>Check</w:t>
      </w:r>
      <w:r w:rsidR="00CE5E26">
        <w:rPr>
          <w:rFonts w:eastAsia="Times New Roman"/>
        </w:rPr>
        <w:t>”</w:t>
      </w:r>
      <w:r>
        <w:rPr>
          <w:rFonts w:eastAsia="Times New Roman"/>
        </w:rPr>
        <w:t xml:space="preserve"> means a check signed by the maker and made payable to a person for a fee, interest, or other consideration. The name must be preprinted on the face of the check. </w:t>
      </w:r>
      <w:r w:rsidRPr="001C061A">
        <w:rPr>
          <w:rFonts w:eastAsia="Times New Roman"/>
        </w:rPr>
        <w:t>‘</w:t>
      </w:r>
      <w:r>
        <w:rPr>
          <w:rFonts w:eastAsia="Times New Roman"/>
        </w:rPr>
        <w:t xml:space="preserve">Counter </w:t>
      </w:r>
      <w:proofErr w:type="gramStart"/>
      <w:r>
        <w:rPr>
          <w:rFonts w:eastAsia="Times New Roman"/>
        </w:rPr>
        <w:t>checks</w:t>
      </w:r>
      <w:r w:rsidRPr="001C061A">
        <w:rPr>
          <w:rFonts w:eastAsia="Times New Roman"/>
        </w:rPr>
        <w:t>’</w:t>
      </w:r>
      <w:proofErr w:type="gramEnd"/>
      <w:r>
        <w:rPr>
          <w:rFonts w:eastAsia="Times New Roman"/>
        </w:rPr>
        <w:t xml:space="preserve"> and checks without the name of the maker preprinted on the face of the check may not be accepted.</w:t>
      </w:r>
    </w:p>
    <w:p w:rsidR="00B02E2A" w:rsidP="00B02E2A" w:rsidRDefault="00B02E2A" w14:paraId="51E096B0" w14:textId="24125715">
      <w:pPr>
        <w:pStyle w:val="scnewcodesection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bookmarkStart w:name="ss_T39C5N45S2_lv1_64733e861" w:id="6"/>
      <w:r>
        <w:rPr>
          <w:rFonts w:eastAsia="Times New Roman"/>
        </w:rPr>
        <w:t>(</w:t>
      </w:r>
      <w:bookmarkEnd w:id="6"/>
      <w:r>
        <w:rPr>
          <w:rFonts w:eastAsia="Times New Roman"/>
        </w:rPr>
        <w:t>2)</w:t>
      </w:r>
      <w:r>
        <w:t xml:space="preserve"> </w:t>
      </w:r>
      <w:r w:rsidR="00CE5E26">
        <w:rPr>
          <w:rFonts w:eastAsia="Times New Roman"/>
        </w:rPr>
        <w:t>“</w:t>
      </w:r>
      <w:r>
        <w:rPr>
          <w:rFonts w:eastAsia="Times New Roman"/>
        </w:rPr>
        <w:t>Deferred presentment</w:t>
      </w:r>
      <w:r w:rsidR="00CE5E26">
        <w:rPr>
          <w:rFonts w:eastAsia="Times New Roman"/>
        </w:rPr>
        <w:t>”</w:t>
      </w:r>
      <w:r>
        <w:rPr>
          <w:rFonts w:eastAsia="Times New Roman"/>
        </w:rPr>
        <w:t xml:space="preserve"> means a transaction pursuant to a written agreement involving the following combination of activities in exchange for a fee, interest, or other consideration:</w:t>
      </w:r>
    </w:p>
    <w:p w:rsidR="00B02E2A" w:rsidP="00B02E2A" w:rsidRDefault="00B02E2A" w14:paraId="3001B8FA" w14:textId="77777777">
      <w:pPr>
        <w:pStyle w:val="scnewcodesection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bookmarkStart w:name="ss_T39C5N45Sa_lv2_701a2244f" w:id="7"/>
      <w:r>
        <w:rPr>
          <w:rFonts w:eastAsia="Times New Roman"/>
        </w:rPr>
        <w:t>(</w:t>
      </w:r>
      <w:bookmarkEnd w:id="7"/>
      <w:r>
        <w:rPr>
          <w:rFonts w:eastAsia="Times New Roman"/>
        </w:rPr>
        <w:t>a)</w:t>
      </w:r>
      <w:r>
        <w:t xml:space="preserve"> </w:t>
      </w:r>
      <w:r>
        <w:rPr>
          <w:rFonts w:eastAsia="Times New Roman"/>
        </w:rPr>
        <w:t>accepting a check dated on the date it was written; and</w:t>
      </w:r>
    </w:p>
    <w:p w:rsidR="00B02E2A" w:rsidP="00B02E2A" w:rsidRDefault="00B02E2A" w14:paraId="4D221CE5" w14:textId="77777777">
      <w:pPr>
        <w:pStyle w:val="scnewcodesection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bookmarkStart w:name="ss_T39C5N45Sb_lv2_aa96593b1" w:id="8"/>
      <w:r>
        <w:rPr>
          <w:rFonts w:eastAsia="Times New Roman"/>
        </w:rPr>
        <w:t>(</w:t>
      </w:r>
      <w:bookmarkEnd w:id="8"/>
      <w:r>
        <w:rPr>
          <w:rFonts w:eastAsia="Times New Roman"/>
        </w:rPr>
        <w:t>b)</w:t>
      </w:r>
      <w:r>
        <w:t xml:space="preserve"> </w:t>
      </w:r>
      <w:r>
        <w:rPr>
          <w:rFonts w:eastAsia="Times New Roman"/>
        </w:rPr>
        <w:t xml:space="preserve">holding the check for </w:t>
      </w:r>
      <w:proofErr w:type="gramStart"/>
      <w:r>
        <w:rPr>
          <w:rFonts w:eastAsia="Times New Roman"/>
        </w:rPr>
        <w:t>a period of time</w:t>
      </w:r>
      <w:proofErr w:type="gramEnd"/>
      <w:r>
        <w:rPr>
          <w:rFonts w:eastAsia="Times New Roman"/>
        </w:rPr>
        <w:t xml:space="preserve"> before presentment for the payment of a deposit.</w:t>
      </w:r>
    </w:p>
    <w:p w:rsidR="00B02E2A" w:rsidP="00B02E2A" w:rsidRDefault="00B02E2A" w14:paraId="30BB615F" w14:textId="14AD3D3B">
      <w:pPr>
        <w:pStyle w:val="scnewcodesection"/>
      </w:pPr>
      <w:r>
        <w:rPr>
          <w:rFonts w:eastAsia="Times New Roman"/>
        </w:rPr>
        <w:tab/>
      </w:r>
      <w:r>
        <w:rPr>
          <w:rFonts w:eastAsia="Times New Roman"/>
        </w:rPr>
        <w:tab/>
      </w:r>
      <w:bookmarkStart w:name="ss_T39C5N45S3_lv1_0dc38586c" w:id="9"/>
      <w:r>
        <w:rPr>
          <w:rFonts w:eastAsia="Times New Roman"/>
        </w:rPr>
        <w:t>(</w:t>
      </w:r>
      <w:bookmarkEnd w:id="9"/>
      <w:r>
        <w:rPr>
          <w:rFonts w:eastAsia="Times New Roman"/>
        </w:rPr>
        <w:t>3)</w:t>
      </w:r>
      <w:r>
        <w:t xml:space="preserve"> </w:t>
      </w:r>
      <w:r w:rsidR="00CE5E26">
        <w:rPr>
          <w:rFonts w:eastAsia="Times New Roman"/>
        </w:rPr>
        <w:t>“</w:t>
      </w:r>
      <w:r>
        <w:rPr>
          <w:rFonts w:eastAsia="Times New Roman"/>
        </w:rPr>
        <w:t>Person</w:t>
      </w:r>
      <w:r w:rsidR="00CE5E26">
        <w:rPr>
          <w:rFonts w:eastAsia="Times New Roman"/>
        </w:rPr>
        <w:t>”</w:t>
      </w:r>
      <w:r>
        <w:rPr>
          <w:rFonts w:eastAsia="Times New Roman"/>
        </w:rPr>
        <w:t xml:space="preserve"> means an individual, group of individuals, partnership, association, corporation, or other business unit or legal entity.</w:t>
      </w:r>
    </w:p>
    <w:p w:rsidR="00B02E2A" w:rsidP="00B02E2A" w:rsidRDefault="00B02E2A" w14:paraId="1F934DBC" w14:textId="77777777">
      <w:pPr>
        <w:pStyle w:val="scnewcodesection"/>
      </w:pPr>
      <w:r>
        <w:rPr>
          <w:rFonts w:eastAsia="Times New Roman"/>
        </w:rPr>
        <w:tab/>
      </w:r>
      <w:bookmarkStart w:name="ss_T39C5N45SB_lv2_e6d3dcf09" w:id="10"/>
      <w:r>
        <w:rPr>
          <w:rFonts w:eastAsia="Times New Roman"/>
        </w:rPr>
        <w:t>(</w:t>
      </w:r>
      <w:bookmarkEnd w:id="10"/>
      <w:r>
        <w:rPr>
          <w:rFonts w:eastAsia="Times New Roman"/>
        </w:rPr>
        <w:t>B)</w:t>
      </w:r>
      <w:r>
        <w:t xml:space="preserve"> </w:t>
      </w:r>
      <w:r>
        <w:rPr>
          <w:color w:val="000000" w:themeColor="text1"/>
          <w:szCs w:val="8"/>
        </w:rPr>
        <w:t>Pursuant to Section 39</w:t>
      </w:r>
      <w:r>
        <w:rPr>
          <w:color w:val="000000" w:themeColor="text1"/>
          <w:szCs w:val="8"/>
        </w:rPr>
        <w:noBreakHyphen/>
        <w:t>5</w:t>
      </w:r>
      <w:r>
        <w:rPr>
          <w:color w:val="000000" w:themeColor="text1"/>
          <w:szCs w:val="8"/>
        </w:rPr>
        <w:noBreakHyphen/>
        <w:t>20, it is an unfair trade practice for a person to accept a check for deferred presentment.</w:t>
      </w:r>
    </w:p>
    <w:p w:rsidR="00B02E2A" w:rsidP="00B02E2A" w:rsidRDefault="00B02E2A" w14:paraId="7119DF10" w14:textId="77777777">
      <w:pPr>
        <w:pStyle w:val="scemptyline"/>
      </w:pPr>
    </w:p>
    <w:p w:rsidR="00B02E2A" w:rsidP="00B02E2A" w:rsidRDefault="00B02E2A" w14:paraId="088F6ABE" w14:textId="124570EF">
      <w:pPr>
        <w:pStyle w:val="scnoncodifiedsection"/>
      </w:pPr>
      <w:bookmarkStart w:name="bs_num_2_dffcf6795" w:id="11"/>
      <w:r>
        <w:rPr>
          <w:color w:val="000000" w:themeColor="text1"/>
          <w:szCs w:val="8"/>
        </w:rPr>
        <w:t>S</w:t>
      </w:r>
      <w:bookmarkEnd w:id="11"/>
      <w:r>
        <w:t xml:space="preserve">ECTION </w:t>
      </w:r>
      <w:r>
        <w:rPr>
          <w:color w:val="000000" w:themeColor="text1"/>
          <w:szCs w:val="8"/>
        </w:rPr>
        <w:t>2.</w:t>
      </w:r>
      <w:r>
        <w:rPr>
          <w:color w:val="000000" w:themeColor="text1"/>
          <w:szCs w:val="8"/>
        </w:rPr>
        <w:tab/>
        <w:t xml:space="preserve">Chapter 39, Title 34 of the </w:t>
      </w:r>
      <w:r w:rsidR="006C2040">
        <w:rPr>
          <w:color w:val="000000" w:themeColor="text1"/>
          <w:szCs w:val="8"/>
        </w:rPr>
        <w:t>S.C.</w:t>
      </w:r>
      <w:r>
        <w:rPr>
          <w:color w:val="000000" w:themeColor="text1"/>
          <w:szCs w:val="8"/>
        </w:rPr>
        <w:t xml:space="preserve"> Code, relating to deferred presentment services, is repealed.</w:t>
      </w:r>
    </w:p>
    <w:p w:rsidR="00B02E2A" w:rsidP="00B02E2A" w:rsidRDefault="00B02E2A" w14:paraId="00FEAD4E" w14:textId="77777777">
      <w:pPr>
        <w:pStyle w:val="scemptyline"/>
      </w:pPr>
    </w:p>
    <w:p w:rsidRPr="00522CE0" w:rsidR="00B02E2A" w:rsidP="00B02E2A" w:rsidRDefault="00B02E2A" w14:paraId="454B383E" w14:textId="77777777">
      <w:pPr>
        <w:pStyle w:val="scnoncodifiedsection"/>
      </w:pPr>
      <w:bookmarkStart w:name="eff_date_section" w:id="12"/>
      <w:bookmarkStart w:name="bs_num_3_lastsection" w:id="13"/>
      <w:bookmarkEnd w:id="12"/>
      <w:r>
        <w:rPr>
          <w:rFonts w:eastAsia="Times New Roman"/>
        </w:rPr>
        <w:t>S</w:t>
      </w:r>
      <w:bookmarkEnd w:id="13"/>
      <w:r>
        <w:t xml:space="preserve">ECTION </w:t>
      </w:r>
      <w:r>
        <w:rPr>
          <w:rFonts w:eastAsia="Times New Roman"/>
        </w:rPr>
        <w:t>3.</w:t>
      </w:r>
      <w:r>
        <w:rPr>
          <w:rFonts w:eastAsia="Times New Roman"/>
        </w:rPr>
        <w:tab/>
        <w:t>This act takes effect upon approval by the Governor.</w:t>
      </w:r>
    </w:p>
    <w:p w:rsidRPr="00DF3B44" w:rsidR="005516F6" w:rsidP="009E4191" w:rsidRDefault="00B02E2A" w14:paraId="7389F665" w14:textId="7D66A0AF">
      <w:pPr>
        <w:pStyle w:val="scbillend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DF3B44" w:rsidR="005516F6" w:rsidSect="005D47E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80F08EC" w:rsidR="00685035" w:rsidRPr="007B4AF7" w:rsidRDefault="005D47E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02E2A">
              <w:rPr>
                <w:noProof/>
              </w:rPr>
              <w:t>SR-0056KM23.docx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75FCD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305B"/>
    <w:rsid w:val="005A28BC"/>
    <w:rsid w:val="005A5377"/>
    <w:rsid w:val="005B7817"/>
    <w:rsid w:val="005C06C8"/>
    <w:rsid w:val="005C23D7"/>
    <w:rsid w:val="005C40EB"/>
    <w:rsid w:val="005D02B4"/>
    <w:rsid w:val="005D3013"/>
    <w:rsid w:val="005D47EA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204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1868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2E2A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E26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1E52"/>
    <w:rsid w:val="00E84FE5"/>
    <w:rsid w:val="00E879A5"/>
    <w:rsid w:val="00E879FC"/>
    <w:rsid w:val="00EA2574"/>
    <w:rsid w:val="00EA2F1F"/>
    <w:rsid w:val="00EA3F2E"/>
    <w:rsid w:val="00EA57EC"/>
    <w:rsid w:val="00EB120E"/>
    <w:rsid w:val="00EB4017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1186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7&amp;session=125&amp;summary=B" TargetMode="External" Id="R070362df38b14321" /><Relationship Type="http://schemas.openxmlformats.org/officeDocument/2006/relationships/hyperlink" Target="https://www.scstatehouse.gov/sess125_2023-2024/prever/57_20221201.docx" TargetMode="External" Id="R3da66e638d154c19" /><Relationship Type="http://schemas.openxmlformats.org/officeDocument/2006/relationships/hyperlink" Target="h:\sj\20230110.docx" TargetMode="External" Id="R2d1bf7822de84748" /><Relationship Type="http://schemas.openxmlformats.org/officeDocument/2006/relationships/hyperlink" Target="h:\sj\20230110.docx" TargetMode="External" Id="R4a9dd45e07ec4c5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320c48a4-82dd-4376-b4be-fc5de69776a0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5172f3a1-ffbf-4f8f-9f26-73c4a90a224a</T_BILL_REQUEST_REQUEST>
  <T_BILL_R_ORIGINALDRAFT>cf039e9b-0d23-4446-82e5-6dff84906501</T_BILL_R_ORIGINALDRAFT>
  <T_BILL_SPONSOR_SPONSOR>bda4f41e-b962-448d-812d-fcf76518e535</T_BILL_SPONSOR_SPONSOR>
  <T_BILL_T_ACTNUMBER>None</T_BILL_T_ACTNUMBER>
  <T_BILL_T_BILLNAME>[0057]</T_BILL_T_BILLNAME>
  <T_BILL_T_BILLNUMBER>57</T_BILL_T_BILLNUMBER>
  <T_BILL_T_BILLTITLE>to amend the South Carolina Code of Laws by adding Section 39-5-45 so as to PROVIDE THAT A PERSON WHO ACCEPTS A CHECK FOR A DEFERRED PRESENTMENT TRANSACTION VIOLATES THE SOUTH CAROLINA UNFAIR TRADE PRACTICES ACT; and TO REPEAL CHAPTER 39, TITLE 34 OF THE SOUTH CAROLINA CODE OF LAWS, RELATING TO DEFERRED PRESENTMENT SERVICES.</T_BILL_T_BILLTITLE>
  <T_BILL_T_CHAMBER>senate</T_BILL_T_CHAMBER>
  <T_BILL_T_FILENAME> </T_BILL_T_FILENAME>
  <T_BILL_T_LEGTYPE>bill_statewide</T_BILL_T_LEGTYPE>
  <T_BILL_T_RATNUMBER>None</T_BILL_T_RATNUMBER>
  <T_BILL_T_SECTIONS>[{"SectionUUID":"1cc4a414-0d4c-466f-b1f5-a9fd270aeeb7","SectionName":"code_section","SectionNumber":1,"SectionType":"code_section","CodeSections":[{"CodeSectionBookmarkName":"ns_T39C5N45_dea8d043e","IsConstitutionSection":false,"Identity":"39-5-45","IsNew":true,"SubSections":[{"Level":1,"Identity":"T39C5N45S1","SubSectionBookmarkName":"ss_T39C5N45S1_lv1_a863c5999","IsNewSubSection":false},{"Level":1,"Identity":"T39C5N45S2","SubSectionBookmarkName":"ss_T39C5N45S2_lv1_64733e861","IsNewSubSection":false},{"Level":2,"Identity":"T39C5N45Sa","SubSectionBookmarkName":"ss_T39C5N45Sa_lv2_701a2244f","IsNewSubSection":false},{"Level":2,"Identity":"T39C5N45Sb","SubSectionBookmarkName":"ss_T39C5N45Sb_lv2_aa96593b1","IsNewSubSection":false},{"Level":1,"Identity":"T39C5N45S3","SubSectionBookmarkName":"ss_T39C5N45S3_lv1_0dc38586c","IsNewSubSection":false},{"Level":2,"Identity":"T39C5N45SB","SubSectionBookmarkName":"ss_T39C5N45SB_lv2_e6d3dcf09","IsNewSubSection":false}],"TitleRelatedTo":"","TitleSoAsTo":"PROVIDE THAT A PERSON WHO ACCEPTS A CHECK FOR A DEFERRED PRESENTMENT TRANSACTION VIOLATES THE SOUTH CAROLINA UNFAIR TRADE PRACTICES ACT","Deleted":false}],"TitleText":"","DisableControls":false,"Deleted":false,"SectionBookmarkName":"bs_num_1_9e4e195fb"},{"SectionUUID":"79bb452d-16c2-4575-81ad-fbeddf8ae63e","SectionName":"code_section","SectionNumber":2,"SectionType":"code_section","CodeSections":[],"TitleText":"AND TO REPEAL CHAPTER 39, TITLE 34 OF THE 1976 CODE, RELATING TO DEFERRED PRESENTMENT SERVICES","DisableControls":false,"Deleted":false,"SectionBookmarkName":"bs_num_2_dffcf6795"},{"SectionUUID":"c5fbb539-4861-4bc3-80a5-43e164dc1f8c","SectionName":"standard_eff_date_section","SectionNumber":3,"SectionType":"drafting_clause","CodeSections":[],"TitleText":"","DisableControls":false,"Deleted":false,"SectionBookmarkName":"bs_num_3_lastsection"}]</T_BILL_T_SECTIONS>
  <T_BILL_T_SECTIONSHISTORY>[{"Id":1,"SectionsList":[{"SectionUUID":"1cc4a414-0d4c-466f-b1f5-a9fd270aeeb7","SectionName":"code_section","SectionNumber":1,"SectionType":"code_section","CodeSections":[{"CodeSectionBookmarkName":"ns_T39C5N45_dea8d043e","IsConstitutionSection":false,"Identity":"39-5-45","IsNew":true,"SubSections":[],"TitleRelatedTo":"","TitleSoAsTo":"PROVIDE THAT A PERSON WHO ACCEPTS A CHECK FOR A DEFERRED PRESENTMENT TRANSACTION VIOLATES THE SOUTH CAROLINA UNFAIR TRADE PRACTICES ACT","Deleted":false}],"TitleText":"","DisableControls":false,"Deleted":false,"SectionBookmarkName":"bs_num_1_9e4e195fb"},{"SectionUUID":"79bb452d-16c2-4575-81ad-fbeddf8ae63e","SectionName":"code_section","SectionNumber":2,"SectionType":"code_section","CodeSections":[],"TitleText":"AND TO REPEAL CHAPTER 39, TITLE 34 OF THE 1976 CODE, RELATING TO DEFERRED PRESENTMENT SERVICES","DisableControls":false,"Deleted":false,"SectionBookmarkName":"bs_num_2_dffcf6795"},{"SectionUUID":"c5fbb539-4861-4bc3-80a5-43e164dc1f8c","SectionName":"standard_eff_date_section","SectionNumber":3,"SectionType":"drafting_clause","CodeSections":[],"TitleText":"","DisableControls":false,"Deleted":false,"SectionBookmarkName":"bs_num_3_lastsection"}],"Timestamp":"2022-11-14T10:08:35.2388671-05:00","Username":null},{"Id":2,"SectionsList":[{"SectionUUID":"1cc4a414-0d4c-466f-b1f5-a9fd270aeeb7","SectionName":"code_section","SectionNumber":1,"SectionType":"code_section","CodeSections":[{"CodeSectionBookmarkName":"ns_T39C5N45_dea8d043e","IsConstitutionSection":false,"Identity":"39-5-45","IsNew":true,"SubSections":[{"Level":1,"Identity":"T39C5N45S1","SubSectionBookmarkName":"ss_T39C5N45S1_lv1_a863c5999","IsNewSubSection":false},{"Level":1,"Identity":"T39C5N45S2","SubSectionBookmarkName":"ss_T39C5N45S2_lv1_64733e861","IsNewSubSection":false},{"Level":2,"Identity":"T39C5N45Sa","SubSectionBookmarkName":"ss_T39C5N45Sa_lv2_701a2244f","IsNewSubSection":false},{"Level":2,"Identity":"T39C5N45Sb","SubSectionBookmarkName":"ss_T39C5N45Sb_lv2_aa96593b1","IsNewSubSection":false},{"Level":1,"Identity":"T39C5N45S3","SubSectionBookmarkName":"ss_T39C5N45S3_lv1_0dc38586c","IsNewSubSection":false},{"Level":2,"Identity":"T39C5N45SB","SubSectionBookmarkName":"ss_T39C5N45SB_lv2_e6d3dcf09","IsNewSubSection":false}],"TitleRelatedTo":"","TitleSoAsTo":"PROVIDE THAT A PERSON WHO ACCEPTS A CHECK FOR A DEFERRED PRESENTMENT TRANSACTION VIOLATES THE SOUTH CAROLINA UNFAIR TRADE PRACTICES ACT","Deleted":false}],"TitleText":"","DisableControls":false,"Deleted":false,"SectionBookmarkName":"bs_num_1_9e4e195fb"},{"SectionUUID":"79bb452d-16c2-4575-81ad-fbeddf8ae63e","SectionName":"code_section","SectionNumber":2,"SectionType":"code_section","CodeSections":[],"TitleText":"AND TO REPEAL CHAPTER 39, TITLE 34 OF THE 1976 CODE, RELATING TO DEFERRED PRESENTMENT SERVICES","DisableControls":false,"Deleted":false,"SectionBookmarkName":"bs_num_2_dffcf6795"},{"SectionUUID":"c5fbb539-4861-4bc3-80a5-43e164dc1f8c","SectionName":"standard_eff_date_section","SectionNumber":3,"SectionType":"drafting_clause","CodeSections":[],"TitleText":"","DisableControls":false,"Deleted":false,"SectionBookmarkName":"bs_num_3_lastsection"}],"Timestamp":"2022-11-22T09:50:57.8396903-05:00","Username":"hannahwarner@scsenate.gov"}]</T_BILL_T_SECTIONSHISTORY>
  <T_BILL_T_SUBJECT>Unfair trade practices</T_BILL_T_SUBJECT>
  <T_BILL_UR_DRAFTER>kenmoffitt@scsenate.gov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278</Words>
  <Characters>1356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24</cp:revision>
  <dcterms:created xsi:type="dcterms:W3CDTF">2022-06-03T11:45:00Z</dcterms:created>
  <dcterms:modified xsi:type="dcterms:W3CDTF">2022-11-22T14:50:00Z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