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Sabb and Rankin</w:t>
      </w:r>
    </w:p>
    <w:p>
      <w:pPr>
        <w:widowControl w:val="false"/>
        <w:spacing w:after="0"/>
        <w:jc w:val="left"/>
      </w:pPr>
      <w:r>
        <w:rPr>
          <w:rFonts w:ascii="Times New Roman"/>
          <w:sz w:val="22"/>
        </w:rPr>
        <w:t xml:space="preserve">Companion/Similar bill(s): 845, 850, 4559</w:t>
      </w:r>
    </w:p>
    <w:p>
      <w:pPr>
        <w:widowControl w:val="false"/>
        <w:spacing w:after="0"/>
        <w:jc w:val="left"/>
      </w:pPr>
      <w:r>
        <w:rPr>
          <w:rFonts w:ascii="Times New Roman"/>
          <w:sz w:val="22"/>
        </w:rPr>
        <w:t xml:space="preserve">Document Path: SR-0461KM23.docx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Probate Judges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144e280498a34721">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029ad7cc476d4002">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M.Johnson (ch), Sabb,
 Talley, Reichenbach, Devine
 </w:t>
      </w:r>
    </w:p>
    <w:p>
      <w:pPr>
        <w:widowControl w:val="false"/>
        <w:spacing w:after="0"/>
        <w:jc w:val="left"/>
      </w:pPr>
    </w:p>
    <w:p>
      <w:pPr>
        <w:widowControl w:val="false"/>
        <w:spacing w:after="0"/>
        <w:jc w:val="left"/>
      </w:pPr>
      <w:r>
        <w:rPr>
          <w:rFonts w:ascii="Times New Roman"/>
          <w:sz w:val="22"/>
        </w:rPr>
        <w:t xml:space="preserve">View the latest </w:t>
      </w:r>
      <w:hyperlink r:id="R2add93c2301f40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13105dba9d44b6">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B1F68" w14:paraId="40FEFADA" w14:textId="4E1059DF">
          <w:pPr>
            <w:pStyle w:val="scbilltitle"/>
            <w:tabs>
              <w:tab w:val="left" w:pos="2104"/>
            </w:tabs>
          </w:pPr>
          <w:r>
            <w:t>TO AMEND THE SOUTH CAROLINA CODE OF LAWS BY AMENDING SECTION 62‑3‑108, RELATING TO PROBATE, TESTACY, AND APPOINTMENT PROCEEDINGS AND ULTIMATE TIME LIMIT, SO AS TO PROVIDE THAT APPOINTMENT PROCEEDINGS MAY BE MAINTAINED IN RELATION TO THE ESTATE OF AN INDIVIDUAL PURSUANT TO SECTION 804 OF THE “HONORING OUR PACT ACT OF 2022”.</w:t>
          </w:r>
        </w:p>
      </w:sdtContent>
    </w:sdt>
    <w:bookmarkStart w:name="at_32db8740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e30bbd7" w:id="1"/>
      <w:r w:rsidRPr="0094541D">
        <w:t>B</w:t>
      </w:r>
      <w:bookmarkEnd w:id="1"/>
      <w:r w:rsidRPr="0094541D">
        <w:t>e it enacted by the General Assembly of the State of South Carolina:</w:t>
      </w:r>
    </w:p>
    <w:p w:rsidR="003129D3" w:rsidP="003129D3" w:rsidRDefault="003129D3" w14:paraId="79FCADB8" w14:textId="77777777">
      <w:pPr>
        <w:pStyle w:val="scemptyline"/>
      </w:pPr>
    </w:p>
    <w:p w:rsidR="003129D3" w:rsidP="003129D3" w:rsidRDefault="003129D3" w14:paraId="5CDCFCC4" w14:textId="77777777">
      <w:pPr>
        <w:pStyle w:val="scdirectionallanguage"/>
      </w:pPr>
      <w:bookmarkStart w:name="bs_num_1_a6077d7af" w:id="2"/>
      <w:r>
        <w:t>S</w:t>
      </w:r>
      <w:bookmarkEnd w:id="2"/>
      <w:r>
        <w:t>ECTION 1.</w:t>
      </w:r>
      <w:r>
        <w:tab/>
      </w:r>
      <w:bookmarkStart w:name="dl_56eba7d8d" w:id="3"/>
      <w:r>
        <w:t>S</w:t>
      </w:r>
      <w:bookmarkEnd w:id="3"/>
      <w:r>
        <w:t>ection 62‑3‑108 of the S.C. Code is amended to read:</w:t>
      </w:r>
    </w:p>
    <w:p w:rsidR="003129D3" w:rsidP="003129D3" w:rsidRDefault="003129D3" w14:paraId="52C1F926" w14:textId="77777777">
      <w:pPr>
        <w:pStyle w:val="scemptyline"/>
      </w:pPr>
    </w:p>
    <w:p w:rsidR="003129D3" w:rsidP="003129D3" w:rsidRDefault="003129D3" w14:paraId="1EAA8DF6" w14:textId="77777777">
      <w:pPr>
        <w:pStyle w:val="sccodifiedsection"/>
      </w:pPr>
      <w:r>
        <w:tab/>
      </w:r>
      <w:bookmarkStart w:name="cs_T62C3N108_36bc29aa2" w:id="4"/>
      <w:r>
        <w:t>S</w:t>
      </w:r>
      <w:bookmarkEnd w:id="4"/>
      <w:r>
        <w:t>ection 62‑3‑108.</w:t>
      </w:r>
      <w:r>
        <w:tab/>
      </w:r>
      <w:bookmarkStart w:name="up_aeb9e06e9" w:id="5"/>
      <w:r>
        <w:t>(</w:t>
      </w:r>
      <w:bookmarkEnd w:id="5"/>
      <w:r>
        <w:t>A)(1)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p>
    <w:p w:rsidR="003129D3" w:rsidP="003129D3" w:rsidRDefault="003129D3" w14:paraId="09A148DC" w14:textId="77777777">
      <w:pPr>
        <w:pStyle w:val="sccodifiedsection"/>
      </w:pPr>
      <w:r>
        <w:tab/>
      </w:r>
      <w:r>
        <w:tab/>
      </w:r>
      <w:bookmarkStart w:name="ss_T62C3N108S2_lv1_8267c408c" w:id="6"/>
      <w:r>
        <w:t>(</w:t>
      </w:r>
      <w:bookmarkEnd w:id="6"/>
      <w:r>
        <w:t>2) Notwithstanding any other provision of this section:</w:t>
      </w:r>
    </w:p>
    <w:p w:rsidR="003129D3" w:rsidP="003129D3" w:rsidRDefault="003129D3" w14:paraId="7B32EC18" w14:textId="77777777">
      <w:pPr>
        <w:pStyle w:val="sccodifiedsection"/>
      </w:pPr>
      <w:r>
        <w:tab/>
      </w:r>
      <w:r>
        <w:tab/>
      </w:r>
      <w:r>
        <w:tab/>
      </w:r>
      <w:bookmarkStart w:name="ss_T62C3N108Sa_lv2_9ac9c4856" w:id="7"/>
      <w:r>
        <w:t>(</w:t>
      </w:r>
      <w:bookmarkEnd w:id="7"/>
      <w:r>
        <w:t>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commenced within the time limits of this section;</w:t>
      </w:r>
    </w:p>
    <w:p w:rsidR="003129D3" w:rsidP="003129D3" w:rsidRDefault="003129D3" w14:paraId="74C26FC3" w14:textId="5BE888F3">
      <w:pPr>
        <w:pStyle w:val="sccodifiedsection"/>
      </w:pPr>
      <w:r>
        <w:tab/>
      </w:r>
      <w:r>
        <w:tab/>
      </w:r>
      <w:r>
        <w:tab/>
      </w:r>
      <w:bookmarkStart w:name="ss_T62C3N108Sb_lv2_59c27da2e" w:id="8"/>
      <w:r>
        <w:t>(</w:t>
      </w:r>
      <w:bookmarkEnd w:id="8"/>
      <w:r>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w:t>
      </w:r>
      <w:r>
        <w:rPr>
          <w:rStyle w:val="scstrike"/>
        </w:rPr>
        <w:t xml:space="preserve">  and</w:t>
      </w:r>
    </w:p>
    <w:p w:rsidR="00757788" w:rsidP="00757788" w:rsidRDefault="003129D3" w14:paraId="6D0DEC1A" w14:textId="77777777">
      <w:pPr>
        <w:pStyle w:val="sccodifiedsection"/>
      </w:pPr>
      <w:r>
        <w:tab/>
      </w:r>
      <w:r>
        <w:tab/>
      </w:r>
      <w:r>
        <w:tab/>
      </w:r>
      <w:bookmarkStart w:name="ss_T62C3N108Sc_lv2_92f4d2c80" w:id="9"/>
      <w:r>
        <w:t>(</w:t>
      </w:r>
      <w:bookmarkEnd w:id="9"/>
      <w:r>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w:t>
      </w:r>
      <w:r>
        <w:rPr>
          <w:rStyle w:val="scstrike"/>
        </w:rPr>
        <w:t>.</w:t>
      </w:r>
      <w:r w:rsidR="00757788">
        <w:rPr>
          <w:rStyle w:val="scinsert"/>
        </w:rPr>
        <w:t>; and</w:t>
      </w:r>
    </w:p>
    <w:p w:rsidR="003129D3" w:rsidP="00757788" w:rsidRDefault="00757788" w14:paraId="06FD4B97" w14:textId="3A4349D7">
      <w:pPr>
        <w:pStyle w:val="sccodifiedsection"/>
      </w:pPr>
      <w:r>
        <w:rPr>
          <w:rStyle w:val="scinsert"/>
        </w:rPr>
        <w:tab/>
      </w:r>
      <w:r>
        <w:rPr>
          <w:rStyle w:val="scinsert"/>
        </w:rPr>
        <w:tab/>
      </w:r>
      <w:r>
        <w:rPr>
          <w:rStyle w:val="scinsert"/>
        </w:rPr>
        <w:tab/>
      </w:r>
      <w:bookmarkStart w:name="ss_T62C3N108Sd_lv2_b99adea25" w:id="10"/>
      <w:r>
        <w:rPr>
          <w:rStyle w:val="scinsert"/>
        </w:rPr>
        <w:t>(</w:t>
      </w:r>
      <w:bookmarkEnd w:id="10"/>
      <w:r>
        <w:rPr>
          <w:rStyle w:val="scinsert"/>
        </w:rPr>
        <w:t>d) appropriate appointment proceedings may be maintained in relation to the estate of an individual for the sole purpose of allowing a claim to be made pursuant to Section 804 of the ‘‘Sergeant First Class Heath Robinson Honoring our Promise to Address Comprehensive Toxics Act of 2022</w:t>
      </w:r>
      <w:r w:rsidR="00A84218">
        <w:rPr>
          <w:rStyle w:val="scinsert"/>
        </w:rPr>
        <w:t>,</w:t>
      </w:r>
      <w:r>
        <w:rPr>
          <w:rStyle w:val="scinsert"/>
        </w:rPr>
        <w:t>’’ United States Public Law 117‑168, as amended, regardless of the date of that individual’s death.</w:t>
      </w:r>
    </w:p>
    <w:p w:rsidR="003129D3" w:rsidP="003129D3" w:rsidRDefault="003129D3" w14:paraId="663C08C6" w14:textId="00A86C11">
      <w:pPr>
        <w:pStyle w:val="sccodifiedsection"/>
      </w:pPr>
      <w:r>
        <w:lastRenderedPageBreak/>
        <w:tab/>
      </w:r>
      <w:bookmarkStart w:name="ss_T62C3N108SB_lv3_caa536e3e" w:id="11"/>
      <w:r>
        <w:t>(</w:t>
      </w:r>
      <w:bookmarkEnd w:id="11"/>
      <w:r>
        <w:t>B) If no informal probate and no formal testacy proceedings are commenced within ten years after the decedent's death, and no proceedings under subsection (A)(2)</w:t>
      </w:r>
      <w:r>
        <w:rPr>
          <w:rStyle w:val="scstrike"/>
        </w:rPr>
        <w:t>(b)</w:t>
      </w:r>
      <w:r>
        <w:t xml:space="preserve"> are commenced within the applicable period of </w:t>
      </w:r>
      <w:r>
        <w:rPr>
          <w:rStyle w:val="scstrike"/>
        </w:rPr>
        <w:t>three years</w:t>
      </w:r>
      <w:r w:rsidR="00175F44">
        <w:rPr>
          <w:rStyle w:val="scinsert"/>
        </w:rPr>
        <w:t>time</w:t>
      </w:r>
      <w:r>
        <w:t>,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Pr="00DF3B44" w:rsidR="007E06BB" w:rsidP="00787433" w:rsidRDefault="007E06BB" w14:paraId="3D8F1FED" w14:textId="6DA17616">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60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DB58CE" w:rsidR="00685035" w:rsidRPr="007B4AF7" w:rsidRDefault="009608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29D3">
              <w:rPr>
                <w:noProof/>
              </w:rPr>
              <w:t>SR-0461KM23.docx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046B"/>
    <w:rsid w:val="00140049"/>
    <w:rsid w:val="00171601"/>
    <w:rsid w:val="001730EB"/>
    <w:rsid w:val="00173276"/>
    <w:rsid w:val="00175F4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C91"/>
    <w:rsid w:val="00257F60"/>
    <w:rsid w:val="002625EA"/>
    <w:rsid w:val="00264AE9"/>
    <w:rsid w:val="00275AE6"/>
    <w:rsid w:val="002836D8"/>
    <w:rsid w:val="002A7989"/>
    <w:rsid w:val="002B02F3"/>
    <w:rsid w:val="002C3463"/>
    <w:rsid w:val="002D266D"/>
    <w:rsid w:val="002D5B3D"/>
    <w:rsid w:val="002D6023"/>
    <w:rsid w:val="002D7447"/>
    <w:rsid w:val="002E315A"/>
    <w:rsid w:val="002E4F8C"/>
    <w:rsid w:val="002F560C"/>
    <w:rsid w:val="002F5847"/>
    <w:rsid w:val="0030425A"/>
    <w:rsid w:val="003129D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1BD"/>
    <w:rsid w:val="004D1442"/>
    <w:rsid w:val="004D3DCB"/>
    <w:rsid w:val="004E7DDE"/>
    <w:rsid w:val="004F0090"/>
    <w:rsid w:val="004F172C"/>
    <w:rsid w:val="005002ED"/>
    <w:rsid w:val="00500DBC"/>
    <w:rsid w:val="005102BE"/>
    <w:rsid w:val="00523F7F"/>
    <w:rsid w:val="00524D54"/>
    <w:rsid w:val="00533E18"/>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A9B"/>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5381"/>
    <w:rsid w:val="00711AA9"/>
    <w:rsid w:val="00722155"/>
    <w:rsid w:val="00737F19"/>
    <w:rsid w:val="00757788"/>
    <w:rsid w:val="00782BF8"/>
    <w:rsid w:val="00783C75"/>
    <w:rsid w:val="007849D9"/>
    <w:rsid w:val="00787433"/>
    <w:rsid w:val="007A10F1"/>
    <w:rsid w:val="007A3D50"/>
    <w:rsid w:val="007B1F68"/>
    <w:rsid w:val="007B2D29"/>
    <w:rsid w:val="007B412F"/>
    <w:rsid w:val="007B4AF7"/>
    <w:rsid w:val="007B4AFF"/>
    <w:rsid w:val="007B4DBF"/>
    <w:rsid w:val="007C5458"/>
    <w:rsid w:val="007D2C67"/>
    <w:rsid w:val="007E06BB"/>
    <w:rsid w:val="007F50D1"/>
    <w:rsid w:val="00816D52"/>
    <w:rsid w:val="00831048"/>
    <w:rsid w:val="00834272"/>
    <w:rsid w:val="00847154"/>
    <w:rsid w:val="008625C1"/>
    <w:rsid w:val="008806F9"/>
    <w:rsid w:val="008A57E3"/>
    <w:rsid w:val="008B5BF4"/>
    <w:rsid w:val="008C0CEE"/>
    <w:rsid w:val="008C1B18"/>
    <w:rsid w:val="008D46EC"/>
    <w:rsid w:val="008E0E25"/>
    <w:rsid w:val="008E61A1"/>
    <w:rsid w:val="0090215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4218"/>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4BC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0D85"/>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67C7"/>
    <w:rsid w:val="00F17DA2"/>
    <w:rsid w:val="00F22402"/>
    <w:rsid w:val="00F22EC0"/>
    <w:rsid w:val="00F27D7B"/>
    <w:rsid w:val="00F31D34"/>
    <w:rsid w:val="00F342A1"/>
    <w:rsid w:val="00F36FBA"/>
    <w:rsid w:val="00F44D36"/>
    <w:rsid w:val="00F46262"/>
    <w:rsid w:val="00F4795D"/>
    <w:rsid w:val="00F50A61"/>
    <w:rsid w:val="00F525CD"/>
    <w:rsid w:val="00F5286C"/>
    <w:rsid w:val="00F52E12"/>
    <w:rsid w:val="00F638CA"/>
    <w:rsid w:val="00F8723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5778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69&amp;session=125&amp;summary=B" TargetMode="External" Id="R2add93c2301f4007" /><Relationship Type="http://schemas.openxmlformats.org/officeDocument/2006/relationships/hyperlink" Target="https://www.scstatehouse.gov/sess125_2023-2024/prever/869_20231130.docx" TargetMode="External" Id="R6513105dba9d44b6" /><Relationship Type="http://schemas.openxmlformats.org/officeDocument/2006/relationships/hyperlink" Target="h:\sj\20240109.docx" TargetMode="External" Id="R144e280498a34721" /><Relationship Type="http://schemas.openxmlformats.org/officeDocument/2006/relationships/hyperlink" Target="h:\sj\20240109.docx" TargetMode="External" Id="R029ad7cc476d40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fa4748f5-7cd6-4ace-85aa-e3ec5297472c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2023</T_BILL_N_YEAR>
  <T_BILL_REQUEST_REQUEST>84c8666b-ec2f-4a07-a730-a670f7095594</T_BILL_REQUEST_REQUEST>
  <T_BILL_R_ORIGINALDRAFT>4a398b67-eac6-4681-b0d7-dc75bb433a4f</T_BILL_R_ORIGINALDRAFT>
  <T_BILL_SPONSOR_SPONSOR>9a451f84-f167-485f-9a81-14302bdf58d3</T_BILL_SPONSOR_SPONSOR>
  <T_BILL_T_BILLNAME>[0869]</T_BILL_T_BILLNAME>
  <T_BILL_T_BILLNUMBER>869</T_BILL_T_BILLNUMBER>
  <T_BILL_T_BILLTITLE>TO AMEND THE SOUTH CAROLINA CODE OF LAWS BY AMENDING SECTION 62‑3‑108, RELATING TO PROBATE, TESTACY, AND APPOINTMENT PROCEEDINGS AND ULTIMATE TIME LIMIT, SO AS TO PROVIDE THAT APPOINTMENT PROCEEDINGS MAY BE MAINTAINED IN RELATION TO THE ESTATE OF AN INDIVIDUAL PURSUANT TO SECTION 804 OF THE “HONORING OUR PACT ACT OF 2022”.</T_BILL_T_BILLTITLE>
  <T_BILL_T_CHAMBER>senate</T_BILL_T_CHAMBER>
  <T_BILL_T_FILENAME> </T_BILL_T_FILENAME>
  <T_BILL_T_LEGTYPE>bill_statewide</T_BILL_T_LEGTYPE>
  <T_BILL_T_SECTIONS>[{"SectionUUID":"1349c0b4-481c-465e-96cf-4a90fd290ade","SectionName":"code_section","SectionNumber":1,"SectionType":"code_section","CodeSections":[{"CodeSectionBookmarkName":"cs_T62C3N108_36bc29aa2","IsConstitutionSection":false,"Identity":"62-3-108","IsNew":false,"SubSections":[{"Level":3,"Identity":"T62C3N108SB","SubSectionBookmarkName":"ss_T62C3N108SB_lv3_caa536e3e","IsNewSubSection":false,"SubSectionReplacement":""},{"Level":1,"Identity":"T62C3N108S2","SubSectionBookmarkName":"ss_T62C3N108S2_lv1_8267c408c","IsNewSubSection":false,"SubSectionReplacement":""},{"Level":2,"Identity":"T62C3N108Sa","SubSectionBookmarkName":"ss_T62C3N108Sa_lv2_9ac9c4856","IsNewSubSection":false,"SubSectionReplacement":""},{"Level":2,"Identity":"T62C3N108Sb","SubSectionBookmarkName":"ss_T62C3N108Sb_lv2_59c27da2e","IsNewSubSection":false,"SubSectionReplacement":""},{"Level":2,"Identity":"T62C3N108Sc","SubSectionBookmarkName":"ss_T62C3N108Sc_lv2_92f4d2c80","IsNewSubSection":false,"SubSectionReplacement":""},{"Level":2,"Identity":"T62C3N108Sd","SubSectionBookmarkName":"ss_T62C3N108Sd_lv2_b99adea25","IsNewSubSection":false,"SubSectionReplacement":""}],"TitleRelatedTo":"Probate, testacy, and appointment proceedings and ultimate time limit","TitleSoAsTo":"PROVIDE THAT APPOINTMENT PROCEEDINGS MAY BE MAINTAINED IN RELATION TO THE ESTATE OF AN INDIVIDUAL PURSUANT TO SECTION 804 OF THE “HONORING OUR PACT ACT OF 2022”","Deleted":false}],"TitleText":"","DisableControls":false,"Deleted":false,"RepealItems":[],"SectionBookmarkName":"bs_num_1_a6077d7af"},{"SectionUUID":"8f03ca95-8faa-4d43-a9c2-8afc498075bd","SectionName":"standard_eff_date_section","SectionNumber":2,"SectionType":"drafting_clause","CodeSections":[],"TitleText":"","DisableControls":false,"Deleted":false,"RepealItems":[],"SectionBookmarkName":"bs_num_2_lastsection"}]</T_BILL_T_SECTIONS>
  <T_BILL_T_SUBJECT>Probate Judges</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2691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dcterms:created xsi:type="dcterms:W3CDTF">2023-11-29T18:57:00Z</dcterms:created>
  <dcterms:modified xsi:type="dcterms:W3CDTF">2023-11-29T18:57:00Z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