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and Grooms</w:t>
      </w:r>
    </w:p>
    <w:p>
      <w:pPr>
        <w:widowControl w:val="false"/>
        <w:spacing w:after="0"/>
        <w:jc w:val="left"/>
      </w:pPr>
      <w:r>
        <w:rPr>
          <w:rFonts w:ascii="Times New Roman"/>
          <w:sz w:val="22"/>
        </w:rPr>
        <w:t xml:space="preserve">Document Path: SR-0127KM25.docx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Reckless Endangerment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b2513e765a0421d">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b6ef09539d4d434a">
        <w:r w:rsidRPr="00770434">
          <w:rPr>
            <w:rStyle w:val="Hyperlink"/>
          </w:rPr>
          <w:t>Senate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84131c774a48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8b03f493a848d4">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521B" w14:paraId="40FEFADA" w14:textId="6373D17C">
          <w:pPr>
            <w:pStyle w:val="scbilltitle"/>
          </w:pPr>
          <w:r>
            <w:t>TO AMEND THE SOUTH CAROLINA CODE OF LAWS BY ADDING SECTION 16‑3‑605 SO AS TO CREATE THE OFFENSE OF RECKLESS ENDANGERMENT, TO DEFINE TERMS PERTAINING TO THIS OFFENSE, AND TO PROVIDE PENALTIES; BY AMENDING SECTION 16‑3‑610, RELATING TO CERTAIN OFFENSES COMMITTED WITH A CARRIED OR CONCEALED DEADLY WEAPON, SO AS TO INCLUDE RECKLESS ENDANGERMENT; AND BY AMENDING SECTION 17‑15‑55, RELATING TO RECONSIDERATION BY CIRCUIT COURT OF BOND SET BY SUMMARY COURT AND SUBSEQUENT VIOLENT OFFENDERS, SO AS TO REQUIRE THE BOND FOR THE OFFENSE OF RECKLESS ENDANGERMENT TO BE HELD IN CIRCUIT COURT IF THE OFFENSE WAS COMMITTED BY A PERSON ALREADY OUT ON BOND FOR A PREVIOUS VIOLENT OFFENSE, RECKLESS ENDANGERMENT OFFENSE, OR ANY FELONY OFFENSE INVOLVING A FIREARM.</w:t>
          </w:r>
        </w:p>
      </w:sdtContent>
    </w:sdt>
    <w:bookmarkStart w:name="at_adbec32d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0b489e3" w:id="1"/>
      <w:r w:rsidRPr="0094541D">
        <w:t>B</w:t>
      </w:r>
      <w:bookmarkEnd w:id="1"/>
      <w:r w:rsidRPr="0094541D">
        <w:t>e it enacted by the General Assembly of the State of South Carolina:</w:t>
      </w:r>
    </w:p>
    <w:p w:rsidR="00251F98" w:rsidP="00251F98" w:rsidRDefault="00251F98" w14:paraId="0A7CEB13" w14:textId="77777777">
      <w:pPr>
        <w:pStyle w:val="scemptyline"/>
      </w:pPr>
    </w:p>
    <w:p w:rsidR="00FB41B9" w:rsidP="00FB41B9" w:rsidRDefault="00251F98" w14:paraId="07334EC4" w14:textId="77777777">
      <w:pPr>
        <w:pStyle w:val="scdirectionallanguage"/>
      </w:pPr>
      <w:bookmarkStart w:name="bs_num_1_9b1e7fb1a" w:id="2"/>
      <w:r>
        <w:t>S</w:t>
      </w:r>
      <w:bookmarkEnd w:id="2"/>
      <w:r>
        <w:t>ECTION 1.</w:t>
      </w:r>
      <w:r>
        <w:tab/>
      </w:r>
      <w:bookmarkStart w:name="dl_5580e6f1b" w:id="3"/>
      <w:r w:rsidR="00FB41B9">
        <w:t>A</w:t>
      </w:r>
      <w:bookmarkEnd w:id="3"/>
      <w:r w:rsidR="00FB41B9">
        <w:t>rticle 7, Chapter 3, Title 16 of the S.C. Code is amended by adding:</w:t>
      </w:r>
    </w:p>
    <w:p w:rsidR="00FB41B9" w:rsidP="00FB41B9" w:rsidRDefault="00FB41B9" w14:paraId="7366BC75" w14:textId="77777777">
      <w:pPr>
        <w:pStyle w:val="scnewcodesection"/>
      </w:pPr>
    </w:p>
    <w:p w:rsidR="00251F98" w:rsidP="00FB41B9" w:rsidRDefault="00FB41B9" w14:paraId="0C4D152F" w14:textId="0DA6EE45">
      <w:pPr>
        <w:pStyle w:val="scnewcodesection"/>
      </w:pPr>
      <w:r>
        <w:tab/>
      </w:r>
      <w:bookmarkStart w:name="ns_T16C3N605_20f90e78b" w:id="4"/>
      <w:r>
        <w:t>S</w:t>
      </w:r>
      <w:bookmarkEnd w:id="4"/>
      <w:r>
        <w:t>ection 16‑3‑605.</w:t>
      </w:r>
      <w:r>
        <w:tab/>
      </w:r>
      <w:bookmarkStart w:name="ss_T16C3N605SA_lv1_06c778c18" w:id="5"/>
      <w:r w:rsidR="00F65C8F">
        <w:t>(</w:t>
      </w:r>
      <w:bookmarkEnd w:id="5"/>
      <w:r w:rsidR="00F65C8F">
        <w:t>A) For the purposes of this section:</w:t>
      </w:r>
    </w:p>
    <w:p w:rsidR="00F65C8F" w:rsidP="00FB41B9" w:rsidRDefault="00F65C8F" w14:paraId="2313064A" w14:textId="166C1658">
      <w:pPr>
        <w:pStyle w:val="scnewcodesection"/>
      </w:pPr>
      <w:r>
        <w:tab/>
      </w:r>
      <w:r>
        <w:tab/>
      </w:r>
      <w:bookmarkStart w:name="ss_T16C3N605S1_lv2_9dddb083e" w:id="6"/>
      <w:r>
        <w:t>(</w:t>
      </w:r>
      <w:bookmarkEnd w:id="6"/>
      <w:r>
        <w:t xml:space="preserve">1) </w:t>
      </w:r>
      <w:r w:rsidRPr="00F65C8F">
        <w:t>“Deadly weapon” means any instrument that can be used to inflict deadly force.</w:t>
      </w:r>
    </w:p>
    <w:p w:rsidR="00F65C8F" w:rsidP="00FB41B9" w:rsidRDefault="00F65C8F" w14:paraId="5C0D06A9" w14:textId="239EE6D4">
      <w:pPr>
        <w:pStyle w:val="scnewcodesection"/>
      </w:pPr>
      <w:r>
        <w:tab/>
      </w:r>
      <w:r>
        <w:tab/>
      </w:r>
      <w:bookmarkStart w:name="ss_T16C3N605S2_lv2_654a6d63e" w:id="7"/>
      <w:r>
        <w:t>(</w:t>
      </w:r>
      <w:bookmarkEnd w:id="7"/>
      <w:r>
        <w:t xml:space="preserve">2) </w:t>
      </w:r>
      <w:r w:rsidRPr="00F65C8F">
        <w:t>“Bodily injury” means bodily injury that causes a substantial risk of death, physical damage, or impairment.</w:t>
      </w:r>
    </w:p>
    <w:p w:rsidR="00F65C8F" w:rsidP="00FB41B9" w:rsidRDefault="00F65C8F" w14:paraId="4B854F2B" w14:textId="103A8164">
      <w:pPr>
        <w:pStyle w:val="scnewcodesection"/>
      </w:pPr>
      <w:r>
        <w:tab/>
      </w:r>
      <w:bookmarkStart w:name="ss_T16C3N605SB_lv1_6c3eb500c" w:id="8"/>
      <w:r>
        <w:t>(</w:t>
      </w:r>
      <w:bookmarkEnd w:id="8"/>
      <w:r>
        <w:t>B)</w:t>
      </w:r>
      <w:bookmarkStart w:name="ss_T16C3N605S1_lv2_b43ee1d4c" w:id="9"/>
      <w:r>
        <w:t>(</w:t>
      </w:r>
      <w:bookmarkEnd w:id="9"/>
      <w:r>
        <w:t xml:space="preserve">1) </w:t>
      </w:r>
      <w:r w:rsidRPr="00F65C8F">
        <w:t>A person commits the offense of reckless endangerment in the first degree if the person engages in conduct that creates a substantial risk of death or bodily injury to another person and:</w:t>
      </w:r>
    </w:p>
    <w:p w:rsidR="00F65C8F" w:rsidP="00FB41B9" w:rsidRDefault="00F65C8F" w14:paraId="5CD63B66" w14:textId="7FB678EE">
      <w:pPr>
        <w:pStyle w:val="scnewcodesection"/>
      </w:pPr>
      <w:r>
        <w:tab/>
      </w:r>
      <w:r>
        <w:tab/>
      </w:r>
      <w:r>
        <w:tab/>
      </w:r>
      <w:bookmarkStart w:name="ss_T16C3N605Sa_lv3_56a8694e6" w:id="10"/>
      <w:r>
        <w:t>(</w:t>
      </w:r>
      <w:bookmarkEnd w:id="10"/>
      <w:r>
        <w:t xml:space="preserve">a) </w:t>
      </w:r>
      <w:r w:rsidRPr="00F65C8F">
        <w:t xml:space="preserve">the offense is committed with a deadly </w:t>
      </w:r>
      <w:proofErr w:type="gramStart"/>
      <w:r w:rsidRPr="00F65C8F">
        <w:t>weapon;</w:t>
      </w:r>
      <w:proofErr w:type="gramEnd"/>
    </w:p>
    <w:p w:rsidR="00F65C8F" w:rsidP="00FB41B9" w:rsidRDefault="00F65C8F" w14:paraId="5B56AF54" w14:textId="19AF8666">
      <w:pPr>
        <w:pStyle w:val="scnewcodesection"/>
      </w:pPr>
      <w:r>
        <w:tab/>
      </w:r>
      <w:r>
        <w:tab/>
      </w:r>
      <w:r>
        <w:tab/>
      </w:r>
      <w:bookmarkStart w:name="ss_T16C3N605Sb_lv3_21d0ff16c" w:id="11"/>
      <w:r>
        <w:t>(</w:t>
      </w:r>
      <w:bookmarkEnd w:id="11"/>
      <w:r>
        <w:t xml:space="preserve">b) </w:t>
      </w:r>
      <w:r w:rsidRPr="00F65C8F">
        <w:t>the person discharges or causes to be discharged unlawfully a firearm during the offense; or</w:t>
      </w:r>
    </w:p>
    <w:p w:rsidR="00F65C8F" w:rsidP="00FB41B9" w:rsidRDefault="00F65C8F" w14:paraId="3E596D6F" w14:textId="76F3B5AF">
      <w:pPr>
        <w:pStyle w:val="scnewcodesection"/>
      </w:pPr>
      <w:r>
        <w:tab/>
      </w:r>
      <w:r>
        <w:tab/>
      </w:r>
      <w:r>
        <w:tab/>
      </w:r>
      <w:bookmarkStart w:name="ss_T16C3N605Sc_lv3_c8c7c6c16" w:id="12"/>
      <w:r>
        <w:t>(</w:t>
      </w:r>
      <w:bookmarkEnd w:id="12"/>
      <w:r>
        <w:t xml:space="preserve">c) </w:t>
      </w:r>
      <w:r w:rsidRPr="00F65C8F">
        <w:t>the person has been previously convicted of, pled guilty or nolo contendere to, or adjudicated delinquent for an offense listed in Section 16‑3‑605.</w:t>
      </w:r>
    </w:p>
    <w:p w:rsidR="00F65C8F" w:rsidP="00FB41B9" w:rsidRDefault="00F65C8F" w14:paraId="29D198DC" w14:textId="20860AA5">
      <w:pPr>
        <w:pStyle w:val="scnewcodesection"/>
      </w:pPr>
      <w:r>
        <w:tab/>
      </w:r>
      <w:bookmarkStart w:name="ss_T16C3N605SC_lv1_103fe8022" w:id="13"/>
      <w:r>
        <w:t>(</w:t>
      </w:r>
      <w:bookmarkEnd w:id="13"/>
      <w:r>
        <w:t>C)</w:t>
      </w:r>
      <w:bookmarkStart w:name="ss_T16C3N605S1_lv2_e6275ef65" w:id="14"/>
      <w:r>
        <w:t>(</w:t>
      </w:r>
      <w:bookmarkEnd w:id="14"/>
      <w:r>
        <w:t xml:space="preserve">1) </w:t>
      </w:r>
      <w:r w:rsidRPr="00F65C8F">
        <w:t>A person commits the offense of reckless endangerment in the second degree if the person engages in conduct that creates a substantial risk of death or bodily injury to another person.</w:t>
      </w:r>
    </w:p>
    <w:p w:rsidR="00F65C8F" w:rsidP="00FB41B9" w:rsidRDefault="00F65C8F" w14:paraId="4AFD90A6" w14:textId="739B611B">
      <w:pPr>
        <w:pStyle w:val="scnewcodesection"/>
      </w:pPr>
      <w:r>
        <w:tab/>
      </w:r>
      <w:r>
        <w:tab/>
      </w:r>
      <w:bookmarkStart w:name="ss_T16C3N605S2_lv2_5a2a3bd0d" w:id="15"/>
      <w:r>
        <w:t>(</w:t>
      </w:r>
      <w:bookmarkEnd w:id="15"/>
      <w:r>
        <w:t xml:space="preserve">2) </w:t>
      </w:r>
      <w:r w:rsidRPr="00F65C8F">
        <w:t>A person who violates this subsection is guilty of a misdemeanor and, upon conviction, must be fined in the discretion of the court or imprisoned not more than three years, or both.</w:t>
      </w:r>
    </w:p>
    <w:p w:rsidR="000250F8" w:rsidP="000250F8" w:rsidRDefault="000250F8" w14:paraId="37B40D2B" w14:textId="77777777">
      <w:pPr>
        <w:pStyle w:val="scemptyline"/>
      </w:pPr>
    </w:p>
    <w:p w:rsidR="000250F8" w:rsidP="000250F8" w:rsidRDefault="000250F8" w14:paraId="19CEC973" w14:textId="77777777">
      <w:pPr>
        <w:pStyle w:val="scdirectionallanguage"/>
      </w:pPr>
      <w:bookmarkStart w:name="bs_num_2_e88500c6b" w:id="16"/>
      <w:r>
        <w:t>S</w:t>
      </w:r>
      <w:bookmarkEnd w:id="16"/>
      <w:r>
        <w:t>ECTION 2.</w:t>
      </w:r>
      <w:r>
        <w:tab/>
      </w:r>
      <w:bookmarkStart w:name="dl_de3a01054" w:id="17"/>
      <w:r>
        <w:t>S</w:t>
      </w:r>
      <w:bookmarkEnd w:id="17"/>
      <w:r>
        <w:t>ection 16‑3‑610 of the S.C. Code is amended to read:</w:t>
      </w:r>
    </w:p>
    <w:p w:rsidR="000250F8" w:rsidP="000250F8" w:rsidRDefault="000250F8" w14:paraId="4AA009D1" w14:textId="77777777">
      <w:pPr>
        <w:pStyle w:val="sccodifiedsection"/>
      </w:pPr>
    </w:p>
    <w:p w:rsidR="000250F8" w:rsidP="000250F8" w:rsidRDefault="000250F8" w14:paraId="2B0916BD" w14:textId="291E5990">
      <w:pPr>
        <w:pStyle w:val="sccodifiedsection"/>
      </w:pPr>
      <w:r>
        <w:lastRenderedPageBreak/>
        <w:tab/>
      </w:r>
      <w:bookmarkStart w:name="cs_T16C3N610_3b54451db" w:id="18"/>
      <w:r>
        <w:t>S</w:t>
      </w:r>
      <w:bookmarkEnd w:id="18"/>
      <w:r>
        <w:t>ection 16‑3‑610.</w:t>
      </w:r>
      <w:r>
        <w:tab/>
        <w:t xml:space="preserve">If a person is convicted of an offense pursuant to Section 16‑3‑29, 16‑3‑600, </w:t>
      </w:r>
      <w:r w:rsidR="00EA528C">
        <w:rPr>
          <w:rStyle w:val="scinsert"/>
        </w:rPr>
        <w:t xml:space="preserve">16‑3‑605, </w:t>
      </w:r>
      <w:r>
        <w:t>or manslaughter, and the offense is committed with a deadly weapon of the character as specified in Section 16‑23‑460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EA528C" w:rsidP="00EA528C" w:rsidRDefault="00EA528C" w14:paraId="59D45488" w14:textId="77777777">
      <w:pPr>
        <w:pStyle w:val="scemptyline"/>
      </w:pPr>
    </w:p>
    <w:p w:rsidR="00EA528C" w:rsidP="00EA528C" w:rsidRDefault="00EA528C" w14:paraId="6383D6CC" w14:textId="77777777">
      <w:pPr>
        <w:pStyle w:val="scdirectionallanguage"/>
      </w:pPr>
      <w:bookmarkStart w:name="bs_num_3_5d4aba771" w:id="19"/>
      <w:r>
        <w:t>S</w:t>
      </w:r>
      <w:bookmarkEnd w:id="19"/>
      <w:r>
        <w:t>ECTION 3.</w:t>
      </w:r>
      <w:r>
        <w:tab/>
      </w:r>
      <w:bookmarkStart w:name="dl_2564a03ab" w:id="20"/>
      <w:r>
        <w:t>S</w:t>
      </w:r>
      <w:bookmarkEnd w:id="20"/>
      <w:r>
        <w:t>ection 17‑15‑55(C) of the S.C. Code is amended to read:</w:t>
      </w:r>
    </w:p>
    <w:p w:rsidR="00EA528C" w:rsidP="00EA528C" w:rsidRDefault="00EA528C" w14:paraId="103FBF96" w14:textId="77777777">
      <w:pPr>
        <w:pStyle w:val="sccodifiedsection"/>
      </w:pPr>
    </w:p>
    <w:p w:rsidR="00EA528C" w:rsidP="00EA528C" w:rsidRDefault="00EA528C" w14:paraId="1B646070" w14:textId="1E2FDAE1">
      <w:pPr>
        <w:pStyle w:val="sccodifiedsection"/>
      </w:pPr>
      <w:bookmarkStart w:name="cs_T17C15N55_495d509ef" w:id="21"/>
      <w:r>
        <w:tab/>
      </w:r>
      <w:bookmarkStart w:name="ss_T17C15N55SC_lv1_868798ec2" w:id="22"/>
      <w:bookmarkEnd w:id="21"/>
      <w:r>
        <w:t>(</w:t>
      </w:r>
      <w:bookmarkEnd w:id="22"/>
      <w:r>
        <w:t>C) If a person commits a violent offense, as defined in Section 16‑1‑60,</w:t>
      </w:r>
      <w:r w:rsidR="00386C5E">
        <w:rPr>
          <w:rStyle w:val="scinsert"/>
        </w:rPr>
        <w:t xml:space="preserve"> reckless endangerment in the first degree,</w:t>
      </w:r>
      <w:r>
        <w:t xml:space="preserve"> or any felony offense involving a firearm, which was committed when the person was already out on bond for a previous violent offense</w:t>
      </w:r>
      <w:r w:rsidR="00386C5E">
        <w:rPr>
          <w:rStyle w:val="scinsert"/>
        </w:rPr>
        <w:t>, reckless endangerment in the first degree,</w:t>
      </w:r>
      <w:bookmarkStart w:name="open_doc_here" w:id="23"/>
      <w:bookmarkEnd w:id="23"/>
      <w:r>
        <w:t xml:space="preserve"> or any felony offense involving a firearm and the subsequent offense did not arise out of the same series of events as the previous offense, then:</w:t>
      </w:r>
    </w:p>
    <w:p w:rsidR="00EA528C" w:rsidP="00EA528C" w:rsidRDefault="00EA528C" w14:paraId="14560C9C" w14:textId="77777777">
      <w:pPr>
        <w:pStyle w:val="sccodifiedsection"/>
      </w:pPr>
      <w:r>
        <w:tab/>
      </w:r>
      <w:r>
        <w:tab/>
      </w:r>
      <w:bookmarkStart w:name="ss_T17C15N55S1_lv2_5a9868525" w:id="24"/>
      <w:r>
        <w:t>(</w:t>
      </w:r>
      <w:bookmarkEnd w:id="24"/>
      <w:r>
        <w:t xml:space="preserve">1) the bond for the original offense must be revoked by operation of law and a hearing for the subsequent violent offense or any felony offense involving a firearm must be held in the circuit court within thirty </w:t>
      </w:r>
      <w:proofErr w:type="gramStart"/>
      <w:r>
        <w:t>days;</w:t>
      </w:r>
      <w:proofErr w:type="gramEnd"/>
    </w:p>
    <w:p w:rsidR="00EA528C" w:rsidP="00EA528C" w:rsidRDefault="00EA528C" w14:paraId="16E71AB1" w14:textId="77777777">
      <w:pPr>
        <w:pStyle w:val="sccodifiedsection"/>
      </w:pPr>
      <w:r>
        <w:tab/>
      </w:r>
      <w:r>
        <w:tab/>
      </w:r>
      <w:bookmarkStart w:name="ss_T17C15N55S2_lv2_39399a8cc" w:id="25"/>
      <w:r>
        <w:t>(</w:t>
      </w:r>
      <w:bookmarkEnd w:id="25"/>
      <w:r>
        <w:t xml:space="preserve">2) 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w:t>
      </w:r>
      <w:proofErr w:type="gramStart"/>
      <w:r>
        <w:t>firearm;</w:t>
      </w:r>
      <w:proofErr w:type="gramEnd"/>
    </w:p>
    <w:p w:rsidR="00EA528C" w:rsidP="00EA528C" w:rsidRDefault="00EA528C" w14:paraId="088380B9" w14:textId="77777777">
      <w:pPr>
        <w:pStyle w:val="sccodifiedsection"/>
      </w:pPr>
      <w:r>
        <w:tab/>
      </w:r>
      <w:r>
        <w:tab/>
      </w:r>
      <w:bookmarkStart w:name="ss_T17C15N55S3_lv2_ba66940ec" w:id="26"/>
      <w:r>
        <w:t>(</w:t>
      </w:r>
      <w:bookmarkEnd w:id="26"/>
      <w:r>
        <w:t xml:space="preserve">3)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Notwithstanding the provisions of Section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w:t>
      </w:r>
      <w:proofErr w:type="gramStart"/>
      <w:r>
        <w:t>surety;</w:t>
      </w:r>
      <w:proofErr w:type="gramEnd"/>
    </w:p>
    <w:p w:rsidR="00EA528C" w:rsidP="00EA528C" w:rsidRDefault="00EA528C" w14:paraId="3B730035" w14:textId="77777777">
      <w:pPr>
        <w:pStyle w:val="sccodifiedsection"/>
      </w:pPr>
      <w:r>
        <w:tab/>
      </w:r>
      <w:r>
        <w:tab/>
      </w:r>
      <w:bookmarkStart w:name="ss_T17C15N55S4_lv2_644aa00ca" w:id="27"/>
      <w:r>
        <w:t>(</w:t>
      </w:r>
      <w:bookmarkEnd w:id="27"/>
      <w:r>
        <w:t xml:space="preserve">4) if the court finds no such conditions will ensure that the person is unlikely to flee or not pose a danger to the community, the court shall not set a bond for the instant offense and must revoke all previously set </w:t>
      </w:r>
      <w:proofErr w:type="gramStart"/>
      <w:r>
        <w:t>bonds;  and</w:t>
      </w:r>
      <w:proofErr w:type="gramEnd"/>
    </w:p>
    <w:p w:rsidR="00EA528C" w:rsidP="00EA528C" w:rsidRDefault="00EA528C" w14:paraId="5E92B84B" w14:textId="4A94E9E4">
      <w:pPr>
        <w:pStyle w:val="sccodifiedsection"/>
      </w:pPr>
      <w:r>
        <w:tab/>
      </w:r>
      <w:r>
        <w:tab/>
      </w:r>
      <w:bookmarkStart w:name="ss_T17C15N55S5_lv2_e7a45ca1d" w:id="28"/>
      <w:r>
        <w:t>(</w:t>
      </w:r>
      <w:bookmarkEnd w:id="28"/>
      <w:r>
        <w:t xml:space="preserve">5) if a person commits a violent offense, as defined in Section 16‑1‑60, or felony offense involving a firearm which was committed when the person was already out on bond for a previous violent offense or felony offense involving a firearm, and the subsequent offense did not arise out of the same series of events as the previous offense, then the arresting law enforcement agency must </w:t>
      </w:r>
      <w:r>
        <w:lastRenderedPageBreak/>
        <w:t>transmit notice of the second arrest, implicating this subsection, to the solicitor of the circuit in which the offense was committed and the administrative chief judge of the circuit in which the offense was committed.  The prosecuting agency must notify any victims of the initial or subsequent offenses pursuant to Chapter 3, Title 16 of any bond hearings.</w:t>
      </w:r>
    </w:p>
    <w:p w:rsidRPr="00DF3B44" w:rsidR="007E06BB" w:rsidP="00787433" w:rsidRDefault="007E06BB" w14:paraId="3D8F1FED" w14:textId="41BBD978">
      <w:pPr>
        <w:pStyle w:val="scemptyline"/>
      </w:pPr>
    </w:p>
    <w:p w:rsidRPr="00DF3B44" w:rsidR="007A10F1" w:rsidP="007A10F1" w:rsidRDefault="00E27805" w14:paraId="0E9393B4" w14:textId="3A662836">
      <w:pPr>
        <w:pStyle w:val="scnoncodifiedsection"/>
      </w:pPr>
      <w:bookmarkStart w:name="bs_num_4_lastsection" w:id="29"/>
      <w:bookmarkStart w:name="eff_date_section" w:id="30"/>
      <w:r w:rsidRPr="00DF3B44">
        <w:t>S</w:t>
      </w:r>
      <w:bookmarkEnd w:id="29"/>
      <w:r w:rsidRPr="00DF3B44">
        <w:t>ECTION 4.</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4B1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D09AF8" w:rsidR="00685035" w:rsidRPr="007B4AF7" w:rsidRDefault="006560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4364">
              <w:rPr>
                <w:noProof/>
              </w:rPr>
              <w:t>SR-0127KM25.docx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0F8"/>
    <w:rsid w:val="00026421"/>
    <w:rsid w:val="00030409"/>
    <w:rsid w:val="00037F04"/>
    <w:rsid w:val="000404BF"/>
    <w:rsid w:val="00044B84"/>
    <w:rsid w:val="000464CA"/>
    <w:rsid w:val="000479D0"/>
    <w:rsid w:val="0006464F"/>
    <w:rsid w:val="00066B54"/>
    <w:rsid w:val="00072FCD"/>
    <w:rsid w:val="00074A4F"/>
    <w:rsid w:val="00077B65"/>
    <w:rsid w:val="000909A8"/>
    <w:rsid w:val="000A3C25"/>
    <w:rsid w:val="000A701F"/>
    <w:rsid w:val="000B4C02"/>
    <w:rsid w:val="000B5B4A"/>
    <w:rsid w:val="000B7FE1"/>
    <w:rsid w:val="000C3E88"/>
    <w:rsid w:val="000C46B9"/>
    <w:rsid w:val="000C58E4"/>
    <w:rsid w:val="000C6F9A"/>
    <w:rsid w:val="000D0973"/>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69E2"/>
    <w:rsid w:val="001F2A41"/>
    <w:rsid w:val="001F313F"/>
    <w:rsid w:val="001F331D"/>
    <w:rsid w:val="001F394C"/>
    <w:rsid w:val="002038AA"/>
    <w:rsid w:val="002065DC"/>
    <w:rsid w:val="002114C8"/>
    <w:rsid w:val="0021166F"/>
    <w:rsid w:val="00212E52"/>
    <w:rsid w:val="002162DF"/>
    <w:rsid w:val="00230038"/>
    <w:rsid w:val="00233975"/>
    <w:rsid w:val="00236D73"/>
    <w:rsid w:val="00246535"/>
    <w:rsid w:val="00251F98"/>
    <w:rsid w:val="00257F60"/>
    <w:rsid w:val="002625EA"/>
    <w:rsid w:val="00262AC5"/>
    <w:rsid w:val="00264AE9"/>
    <w:rsid w:val="00275AE6"/>
    <w:rsid w:val="002820C9"/>
    <w:rsid w:val="002836D8"/>
    <w:rsid w:val="002A7989"/>
    <w:rsid w:val="002B02F3"/>
    <w:rsid w:val="002C3463"/>
    <w:rsid w:val="002C3800"/>
    <w:rsid w:val="002D266D"/>
    <w:rsid w:val="002D2FDD"/>
    <w:rsid w:val="002D5B3D"/>
    <w:rsid w:val="002D7447"/>
    <w:rsid w:val="002D7568"/>
    <w:rsid w:val="002E315A"/>
    <w:rsid w:val="002E4F8C"/>
    <w:rsid w:val="002F560C"/>
    <w:rsid w:val="002F5847"/>
    <w:rsid w:val="0030425A"/>
    <w:rsid w:val="00311891"/>
    <w:rsid w:val="003421F1"/>
    <w:rsid w:val="0034279C"/>
    <w:rsid w:val="00354F64"/>
    <w:rsid w:val="003559A1"/>
    <w:rsid w:val="00356016"/>
    <w:rsid w:val="00361563"/>
    <w:rsid w:val="003709E9"/>
    <w:rsid w:val="00371D36"/>
    <w:rsid w:val="00373E17"/>
    <w:rsid w:val="003775E6"/>
    <w:rsid w:val="00381998"/>
    <w:rsid w:val="00383F6B"/>
    <w:rsid w:val="00386C5E"/>
    <w:rsid w:val="0039278C"/>
    <w:rsid w:val="003A13D9"/>
    <w:rsid w:val="003A5F1C"/>
    <w:rsid w:val="003C3E2E"/>
    <w:rsid w:val="003C616B"/>
    <w:rsid w:val="003D4A3C"/>
    <w:rsid w:val="003D55B2"/>
    <w:rsid w:val="003E0033"/>
    <w:rsid w:val="003E5452"/>
    <w:rsid w:val="003E7165"/>
    <w:rsid w:val="003E7FF6"/>
    <w:rsid w:val="00404364"/>
    <w:rsid w:val="004046B5"/>
    <w:rsid w:val="00406F27"/>
    <w:rsid w:val="004141B8"/>
    <w:rsid w:val="004203B9"/>
    <w:rsid w:val="00432135"/>
    <w:rsid w:val="00437D83"/>
    <w:rsid w:val="00444B84"/>
    <w:rsid w:val="0044649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13F"/>
    <w:rsid w:val="0054531B"/>
    <w:rsid w:val="00546C24"/>
    <w:rsid w:val="005476FF"/>
    <w:rsid w:val="005516F6"/>
    <w:rsid w:val="00552842"/>
    <w:rsid w:val="00554E89"/>
    <w:rsid w:val="00564B58"/>
    <w:rsid w:val="00572281"/>
    <w:rsid w:val="005801DD"/>
    <w:rsid w:val="00582834"/>
    <w:rsid w:val="00592A40"/>
    <w:rsid w:val="005A28BC"/>
    <w:rsid w:val="005A5377"/>
    <w:rsid w:val="005B7817"/>
    <w:rsid w:val="005C06C8"/>
    <w:rsid w:val="005C23D7"/>
    <w:rsid w:val="005C40EB"/>
    <w:rsid w:val="005D02B4"/>
    <w:rsid w:val="005D3013"/>
    <w:rsid w:val="005E1E50"/>
    <w:rsid w:val="005E2B9C"/>
    <w:rsid w:val="005E3332"/>
    <w:rsid w:val="005F5D7A"/>
    <w:rsid w:val="005F76B0"/>
    <w:rsid w:val="00604429"/>
    <w:rsid w:val="006067B0"/>
    <w:rsid w:val="00606A8B"/>
    <w:rsid w:val="00611EBA"/>
    <w:rsid w:val="006213A8"/>
    <w:rsid w:val="00623BEA"/>
    <w:rsid w:val="006347E9"/>
    <w:rsid w:val="00640C87"/>
    <w:rsid w:val="006423A7"/>
    <w:rsid w:val="006454BB"/>
    <w:rsid w:val="00651A2A"/>
    <w:rsid w:val="0065604A"/>
    <w:rsid w:val="006570E1"/>
    <w:rsid w:val="00657CF4"/>
    <w:rsid w:val="00661463"/>
    <w:rsid w:val="00663B8D"/>
    <w:rsid w:val="00663E00"/>
    <w:rsid w:val="00664F48"/>
    <w:rsid w:val="00664FAD"/>
    <w:rsid w:val="00667099"/>
    <w:rsid w:val="0067345B"/>
    <w:rsid w:val="00683986"/>
    <w:rsid w:val="00685035"/>
    <w:rsid w:val="00685770"/>
    <w:rsid w:val="00690DBA"/>
    <w:rsid w:val="006941FE"/>
    <w:rsid w:val="006964F9"/>
    <w:rsid w:val="006A395F"/>
    <w:rsid w:val="006A65E2"/>
    <w:rsid w:val="006B1D06"/>
    <w:rsid w:val="006B37BD"/>
    <w:rsid w:val="006B71FF"/>
    <w:rsid w:val="006C092D"/>
    <w:rsid w:val="006C099D"/>
    <w:rsid w:val="006C18F0"/>
    <w:rsid w:val="006C7E01"/>
    <w:rsid w:val="006D64A5"/>
    <w:rsid w:val="006E0935"/>
    <w:rsid w:val="006E353F"/>
    <w:rsid w:val="006E35AB"/>
    <w:rsid w:val="006E4591"/>
    <w:rsid w:val="0070161F"/>
    <w:rsid w:val="00711AA9"/>
    <w:rsid w:val="00714CF7"/>
    <w:rsid w:val="00722155"/>
    <w:rsid w:val="00737F19"/>
    <w:rsid w:val="007432C6"/>
    <w:rsid w:val="00780FD4"/>
    <w:rsid w:val="00782BF8"/>
    <w:rsid w:val="00783C75"/>
    <w:rsid w:val="007849D9"/>
    <w:rsid w:val="00787433"/>
    <w:rsid w:val="007A10F1"/>
    <w:rsid w:val="007A3D50"/>
    <w:rsid w:val="007A6B96"/>
    <w:rsid w:val="007B2D29"/>
    <w:rsid w:val="007B412F"/>
    <w:rsid w:val="007B4AF7"/>
    <w:rsid w:val="007B4DBF"/>
    <w:rsid w:val="007C5458"/>
    <w:rsid w:val="007D2C67"/>
    <w:rsid w:val="007E06BB"/>
    <w:rsid w:val="007E521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12E4"/>
    <w:rsid w:val="008E61A1"/>
    <w:rsid w:val="00902305"/>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263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3F4"/>
    <w:rsid w:val="00A35A9B"/>
    <w:rsid w:val="00A4070E"/>
    <w:rsid w:val="00A40CA0"/>
    <w:rsid w:val="00A504A7"/>
    <w:rsid w:val="00A53677"/>
    <w:rsid w:val="00A53BF2"/>
    <w:rsid w:val="00A60D68"/>
    <w:rsid w:val="00A73EFA"/>
    <w:rsid w:val="00A77A3B"/>
    <w:rsid w:val="00A86FDD"/>
    <w:rsid w:val="00A9027E"/>
    <w:rsid w:val="00A92F6F"/>
    <w:rsid w:val="00A97523"/>
    <w:rsid w:val="00AA7824"/>
    <w:rsid w:val="00AB0FA3"/>
    <w:rsid w:val="00AB73BF"/>
    <w:rsid w:val="00AC335C"/>
    <w:rsid w:val="00AC463E"/>
    <w:rsid w:val="00AD3BE2"/>
    <w:rsid w:val="00AD3E3D"/>
    <w:rsid w:val="00AE1EE4"/>
    <w:rsid w:val="00AE36EC"/>
    <w:rsid w:val="00AE3AF4"/>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238"/>
    <w:rsid w:val="00BA25CC"/>
    <w:rsid w:val="00BA2837"/>
    <w:rsid w:val="00BA7E6C"/>
    <w:rsid w:val="00BB0725"/>
    <w:rsid w:val="00BC408A"/>
    <w:rsid w:val="00BC5023"/>
    <w:rsid w:val="00BC5406"/>
    <w:rsid w:val="00BC556C"/>
    <w:rsid w:val="00BD42DA"/>
    <w:rsid w:val="00BD4684"/>
    <w:rsid w:val="00BE08A7"/>
    <w:rsid w:val="00BE4391"/>
    <w:rsid w:val="00BF3E48"/>
    <w:rsid w:val="00BF5037"/>
    <w:rsid w:val="00C15F1B"/>
    <w:rsid w:val="00C16288"/>
    <w:rsid w:val="00C17D1D"/>
    <w:rsid w:val="00C31F6A"/>
    <w:rsid w:val="00C45923"/>
    <w:rsid w:val="00C543E7"/>
    <w:rsid w:val="00C70225"/>
    <w:rsid w:val="00C72198"/>
    <w:rsid w:val="00C73C7D"/>
    <w:rsid w:val="00C75005"/>
    <w:rsid w:val="00C970DF"/>
    <w:rsid w:val="00CA7E71"/>
    <w:rsid w:val="00CB2673"/>
    <w:rsid w:val="00CB4B15"/>
    <w:rsid w:val="00CB701D"/>
    <w:rsid w:val="00CC3F0E"/>
    <w:rsid w:val="00CD08C9"/>
    <w:rsid w:val="00CD1FE8"/>
    <w:rsid w:val="00CD38CD"/>
    <w:rsid w:val="00CD3E0C"/>
    <w:rsid w:val="00CD5565"/>
    <w:rsid w:val="00CD616C"/>
    <w:rsid w:val="00CF68D6"/>
    <w:rsid w:val="00CF7B4A"/>
    <w:rsid w:val="00D009F8"/>
    <w:rsid w:val="00D078DA"/>
    <w:rsid w:val="00D13406"/>
    <w:rsid w:val="00D14995"/>
    <w:rsid w:val="00D204F2"/>
    <w:rsid w:val="00D24557"/>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6D1D"/>
    <w:rsid w:val="00E1372E"/>
    <w:rsid w:val="00E21D30"/>
    <w:rsid w:val="00E24D9A"/>
    <w:rsid w:val="00E27805"/>
    <w:rsid w:val="00E27A11"/>
    <w:rsid w:val="00E30497"/>
    <w:rsid w:val="00E358A2"/>
    <w:rsid w:val="00E35C9A"/>
    <w:rsid w:val="00E3771B"/>
    <w:rsid w:val="00E40979"/>
    <w:rsid w:val="00E41CC8"/>
    <w:rsid w:val="00E43F26"/>
    <w:rsid w:val="00E473FD"/>
    <w:rsid w:val="00E52A36"/>
    <w:rsid w:val="00E574BB"/>
    <w:rsid w:val="00E6378B"/>
    <w:rsid w:val="00E63EC3"/>
    <w:rsid w:val="00E653DA"/>
    <w:rsid w:val="00E65958"/>
    <w:rsid w:val="00E7620F"/>
    <w:rsid w:val="00E84FE5"/>
    <w:rsid w:val="00E879A5"/>
    <w:rsid w:val="00E879FC"/>
    <w:rsid w:val="00E91669"/>
    <w:rsid w:val="00EA2574"/>
    <w:rsid w:val="00EA2F1F"/>
    <w:rsid w:val="00EA3F2E"/>
    <w:rsid w:val="00EA528C"/>
    <w:rsid w:val="00EA57EC"/>
    <w:rsid w:val="00EA6208"/>
    <w:rsid w:val="00EB120E"/>
    <w:rsid w:val="00EB34C8"/>
    <w:rsid w:val="00EB46E2"/>
    <w:rsid w:val="00EC0045"/>
    <w:rsid w:val="00ED2066"/>
    <w:rsid w:val="00ED452E"/>
    <w:rsid w:val="00EE3CDA"/>
    <w:rsid w:val="00EE74C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3C0"/>
    <w:rsid w:val="00F50A61"/>
    <w:rsid w:val="00F525CD"/>
    <w:rsid w:val="00F5286C"/>
    <w:rsid w:val="00F52E12"/>
    <w:rsid w:val="00F638CA"/>
    <w:rsid w:val="00F657C5"/>
    <w:rsid w:val="00F65C8F"/>
    <w:rsid w:val="00F900B4"/>
    <w:rsid w:val="00FA0F2E"/>
    <w:rsid w:val="00FA4DB1"/>
    <w:rsid w:val="00FA6219"/>
    <w:rsid w:val="00FB3F2A"/>
    <w:rsid w:val="00FB41B9"/>
    <w:rsid w:val="00FC3593"/>
    <w:rsid w:val="00FC531F"/>
    <w:rsid w:val="00FD117D"/>
    <w:rsid w:val="00FD72E3"/>
    <w:rsid w:val="00FE06FC"/>
    <w:rsid w:val="00FF0315"/>
    <w:rsid w:val="00FF2121"/>
    <w:rsid w:val="00FF47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6219"/>
    <w:rPr>
      <w:rFonts w:ascii="Times New Roman" w:hAnsi="Times New Roman"/>
      <w:b w:val="0"/>
      <w:i w:val="0"/>
      <w:sz w:val="22"/>
    </w:rPr>
  </w:style>
  <w:style w:type="paragraph" w:styleId="NoSpacing">
    <w:name w:val="No Spacing"/>
    <w:uiPriority w:val="1"/>
    <w:qFormat/>
    <w:rsid w:val="00FA6219"/>
    <w:pPr>
      <w:spacing w:after="0" w:line="240" w:lineRule="auto"/>
    </w:pPr>
  </w:style>
  <w:style w:type="paragraph" w:customStyle="1" w:styleId="scemptylineheader">
    <w:name w:val="sc_emptyline_header"/>
    <w:qFormat/>
    <w:rsid w:val="00FA62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62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62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62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62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6219"/>
    <w:rPr>
      <w:color w:val="808080"/>
    </w:rPr>
  </w:style>
  <w:style w:type="paragraph" w:customStyle="1" w:styleId="scdirectionallanguage">
    <w:name w:val="sc_directional_language"/>
    <w:qFormat/>
    <w:rsid w:val="00FA62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62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62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62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62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62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62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62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62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62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62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62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62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62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62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62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6219"/>
    <w:rPr>
      <w:rFonts w:ascii="Times New Roman" w:hAnsi="Times New Roman"/>
      <w:color w:val="auto"/>
      <w:sz w:val="22"/>
    </w:rPr>
  </w:style>
  <w:style w:type="paragraph" w:customStyle="1" w:styleId="scclippagebillheader">
    <w:name w:val="sc_clip_page_bill_header"/>
    <w:qFormat/>
    <w:rsid w:val="00FA62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62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62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6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219"/>
    <w:rPr>
      <w:lang w:val="en-US"/>
    </w:rPr>
  </w:style>
  <w:style w:type="paragraph" w:styleId="Footer">
    <w:name w:val="footer"/>
    <w:basedOn w:val="Normal"/>
    <w:link w:val="FooterChar"/>
    <w:uiPriority w:val="99"/>
    <w:unhideWhenUsed/>
    <w:rsid w:val="00FA6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19"/>
    <w:rPr>
      <w:lang w:val="en-US"/>
    </w:rPr>
  </w:style>
  <w:style w:type="paragraph" w:styleId="ListParagraph">
    <w:name w:val="List Paragraph"/>
    <w:basedOn w:val="Normal"/>
    <w:uiPriority w:val="34"/>
    <w:qFormat/>
    <w:rsid w:val="00FA6219"/>
    <w:pPr>
      <w:ind w:left="720"/>
      <w:contextualSpacing/>
    </w:pPr>
  </w:style>
  <w:style w:type="paragraph" w:customStyle="1" w:styleId="scbillfooter">
    <w:name w:val="sc_bill_footer"/>
    <w:qFormat/>
    <w:rsid w:val="00FA62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6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62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62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62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62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6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6219"/>
    <w:pPr>
      <w:widowControl w:val="0"/>
      <w:suppressAutoHyphens/>
      <w:spacing w:after="0" w:line="360" w:lineRule="auto"/>
    </w:pPr>
    <w:rPr>
      <w:rFonts w:ascii="Times New Roman" w:hAnsi="Times New Roman"/>
      <w:lang w:val="en-US"/>
    </w:rPr>
  </w:style>
  <w:style w:type="paragraph" w:customStyle="1" w:styleId="sctableln">
    <w:name w:val="sc_table_ln"/>
    <w:qFormat/>
    <w:rsid w:val="00FA62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62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6219"/>
    <w:rPr>
      <w:strike/>
      <w:dstrike w:val="0"/>
    </w:rPr>
  </w:style>
  <w:style w:type="character" w:customStyle="1" w:styleId="scinsert">
    <w:name w:val="sc_insert"/>
    <w:uiPriority w:val="1"/>
    <w:qFormat/>
    <w:rsid w:val="00FA6219"/>
    <w:rPr>
      <w:caps w:val="0"/>
      <w:smallCaps w:val="0"/>
      <w:strike w:val="0"/>
      <w:dstrike w:val="0"/>
      <w:vanish w:val="0"/>
      <w:u w:val="single"/>
      <w:vertAlign w:val="baseline"/>
    </w:rPr>
  </w:style>
  <w:style w:type="character" w:customStyle="1" w:styleId="scinsertred">
    <w:name w:val="sc_insert_red"/>
    <w:uiPriority w:val="1"/>
    <w:qFormat/>
    <w:rsid w:val="00FA6219"/>
    <w:rPr>
      <w:caps w:val="0"/>
      <w:smallCaps w:val="0"/>
      <w:strike w:val="0"/>
      <w:dstrike w:val="0"/>
      <w:vanish w:val="0"/>
      <w:color w:val="FF0000"/>
      <w:u w:val="single"/>
      <w:vertAlign w:val="baseline"/>
    </w:rPr>
  </w:style>
  <w:style w:type="character" w:customStyle="1" w:styleId="scinsertblue">
    <w:name w:val="sc_insert_blue"/>
    <w:uiPriority w:val="1"/>
    <w:qFormat/>
    <w:rsid w:val="00FA6219"/>
    <w:rPr>
      <w:caps w:val="0"/>
      <w:smallCaps w:val="0"/>
      <w:strike w:val="0"/>
      <w:dstrike w:val="0"/>
      <w:vanish w:val="0"/>
      <w:color w:val="0070C0"/>
      <w:u w:val="single"/>
      <w:vertAlign w:val="baseline"/>
    </w:rPr>
  </w:style>
  <w:style w:type="character" w:customStyle="1" w:styleId="scstrikered">
    <w:name w:val="sc_strike_red"/>
    <w:uiPriority w:val="1"/>
    <w:qFormat/>
    <w:rsid w:val="00FA6219"/>
    <w:rPr>
      <w:strike/>
      <w:dstrike w:val="0"/>
      <w:color w:val="FF0000"/>
    </w:rPr>
  </w:style>
  <w:style w:type="character" w:customStyle="1" w:styleId="scstrikeblue">
    <w:name w:val="sc_strike_blue"/>
    <w:uiPriority w:val="1"/>
    <w:qFormat/>
    <w:rsid w:val="00FA6219"/>
    <w:rPr>
      <w:strike/>
      <w:dstrike w:val="0"/>
      <w:color w:val="0070C0"/>
    </w:rPr>
  </w:style>
  <w:style w:type="character" w:customStyle="1" w:styleId="scinsertbluenounderline">
    <w:name w:val="sc_insert_blue_no_underline"/>
    <w:uiPriority w:val="1"/>
    <w:qFormat/>
    <w:rsid w:val="00FA62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62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6219"/>
    <w:rPr>
      <w:strike/>
      <w:dstrike w:val="0"/>
      <w:color w:val="0070C0"/>
      <w:lang w:val="en-US"/>
    </w:rPr>
  </w:style>
  <w:style w:type="character" w:customStyle="1" w:styleId="scstrikerednoncodified">
    <w:name w:val="sc_strike_red_non_codified"/>
    <w:uiPriority w:val="1"/>
    <w:qFormat/>
    <w:rsid w:val="00FA6219"/>
    <w:rPr>
      <w:strike/>
      <w:dstrike w:val="0"/>
      <w:color w:val="FF0000"/>
    </w:rPr>
  </w:style>
  <w:style w:type="paragraph" w:customStyle="1" w:styleId="scbillsiglines">
    <w:name w:val="sc_bill_sig_lines"/>
    <w:qFormat/>
    <w:rsid w:val="00FA62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6219"/>
    <w:rPr>
      <w:bdr w:val="none" w:sz="0" w:space="0" w:color="auto"/>
      <w:shd w:val="clear" w:color="auto" w:fill="FEC6C6"/>
    </w:rPr>
  </w:style>
  <w:style w:type="character" w:customStyle="1" w:styleId="screstoreblue">
    <w:name w:val="sc_restore_blue"/>
    <w:uiPriority w:val="1"/>
    <w:qFormat/>
    <w:rsid w:val="00FA6219"/>
    <w:rPr>
      <w:color w:val="4472C4" w:themeColor="accent1"/>
      <w:bdr w:val="none" w:sz="0" w:space="0" w:color="auto"/>
      <w:shd w:val="clear" w:color="auto" w:fill="auto"/>
    </w:rPr>
  </w:style>
  <w:style w:type="character" w:customStyle="1" w:styleId="screstorered">
    <w:name w:val="sc_restore_red"/>
    <w:uiPriority w:val="1"/>
    <w:qFormat/>
    <w:rsid w:val="00FA6219"/>
    <w:rPr>
      <w:color w:val="FF0000"/>
      <w:bdr w:val="none" w:sz="0" w:space="0" w:color="auto"/>
      <w:shd w:val="clear" w:color="auto" w:fill="auto"/>
    </w:rPr>
  </w:style>
  <w:style w:type="character" w:customStyle="1" w:styleId="scstrikenewblue">
    <w:name w:val="sc_strike_new_blue"/>
    <w:uiPriority w:val="1"/>
    <w:qFormat/>
    <w:rsid w:val="00FA6219"/>
    <w:rPr>
      <w:strike w:val="0"/>
      <w:dstrike/>
      <w:color w:val="0070C0"/>
      <w:u w:val="none"/>
    </w:rPr>
  </w:style>
  <w:style w:type="character" w:customStyle="1" w:styleId="scstrikenewred">
    <w:name w:val="sc_strike_new_red"/>
    <w:uiPriority w:val="1"/>
    <w:qFormat/>
    <w:rsid w:val="00FA6219"/>
    <w:rPr>
      <w:strike w:val="0"/>
      <w:dstrike/>
      <w:color w:val="FF0000"/>
      <w:u w:val="none"/>
    </w:rPr>
  </w:style>
  <w:style w:type="character" w:customStyle="1" w:styleId="scamendsenate">
    <w:name w:val="sc_amend_senate"/>
    <w:uiPriority w:val="1"/>
    <w:qFormat/>
    <w:rsid w:val="00FA6219"/>
    <w:rPr>
      <w:bdr w:val="none" w:sz="0" w:space="0" w:color="auto"/>
      <w:shd w:val="clear" w:color="auto" w:fill="FFF2CC" w:themeFill="accent4" w:themeFillTint="33"/>
    </w:rPr>
  </w:style>
  <w:style w:type="character" w:customStyle="1" w:styleId="scamendhouse">
    <w:name w:val="sc_amend_house"/>
    <w:uiPriority w:val="1"/>
    <w:qFormat/>
    <w:rsid w:val="00FA6219"/>
    <w:rPr>
      <w:bdr w:val="none" w:sz="0" w:space="0" w:color="auto"/>
      <w:shd w:val="clear" w:color="auto" w:fill="E2EFD9" w:themeFill="accent6" w:themeFillTint="33"/>
    </w:rPr>
  </w:style>
  <w:style w:type="paragraph" w:styleId="Revision">
    <w:name w:val="Revision"/>
    <w:hidden/>
    <w:uiPriority w:val="99"/>
    <w:semiHidden/>
    <w:rsid w:val="00EA52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7&amp;session=126&amp;summary=B" TargetMode="External" Id="R0384131c774a48b1" /><Relationship Type="http://schemas.openxmlformats.org/officeDocument/2006/relationships/hyperlink" Target="https://www.scstatehouse.gov/sess126_2025-2026/prever/117_20241211.docx" TargetMode="External" Id="R6d8b03f493a848d4" /><Relationship Type="http://schemas.openxmlformats.org/officeDocument/2006/relationships/hyperlink" Target="h:\sj\20250114.docx" TargetMode="External" Id="R7b2513e765a0421d" /><Relationship Type="http://schemas.openxmlformats.org/officeDocument/2006/relationships/hyperlink" Target="h:\sj\20250114.docx" TargetMode="External" Id="Rb6ef09539d4d43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6B71FF"/>
    <w:rsid w:val="007070D2"/>
    <w:rsid w:val="00714CF7"/>
    <w:rsid w:val="00776F2C"/>
    <w:rsid w:val="008F7723"/>
    <w:rsid w:val="009031EF"/>
    <w:rsid w:val="00912A5F"/>
    <w:rsid w:val="00940EED"/>
    <w:rsid w:val="00985255"/>
    <w:rsid w:val="009C3651"/>
    <w:rsid w:val="00A51DBA"/>
    <w:rsid w:val="00B20DA6"/>
    <w:rsid w:val="00B457AF"/>
    <w:rsid w:val="00BA023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b626213e-b1a9-409f-8828-c9a916b6c27a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365295ee-ee94-43aa-969f-87f8c27ba1f5</T_BILL_REQUEST_REQUEST>
  <T_BILL_R_ORIGINALDRAFT>01c6956d-530c-4b6f-aa90-408b94b8fbe6</T_BILL_R_ORIGINALDRAFT>
  <T_BILL_SPONSOR_SPONSOR>e323787d-9beb-47b1-9a12-e01e11fe05b5</T_BILL_SPONSOR_SPONSOR>
  <T_BILL_T_BILLNAME>[0117]</T_BILL_T_BILLNAME>
  <T_BILL_T_BILLNUMBER>117</T_BILL_T_BILLNUMBER>
  <T_BILL_T_BILLTITLE>TO AMEND THE SOUTH CAROLINA CODE OF LAWS BY ADDING SECTION 16‑3‑605 SO AS TO CREATE THE OFFENSE OF RECKLESS ENDANGERMENT, TO DEFINE TERMS PERTAINING TO THIS OFFENSE, AND TO PROVIDE PENALTIES; BY AMENDING SECTION 16‑3‑610, RELATING TO CERTAIN OFFENSES COMMITTED WITH A CARRIED OR CONCEALED DEADLY WEAPON, SO AS TO INCLUDE RECKLESS ENDANGERMENT; AND BY AMENDING SECTION 17‑15‑55, RELATING TO RECONSIDERATION BY CIRCUIT COURT OF BOND SET BY SUMMARY COURT AND SUBSEQUENT VIOLENT OFFENDERS, SO AS TO REQUIRE THE BOND FOR THE OFFENSE OF RECKLESS ENDANGERMENT TO BE HELD IN CIRCUIT COURT IF THE OFFENSE WAS COMMITTED BY A PERSON ALREADY OUT ON BOND FOR A PREVIOUS VIOLENT OFFENSE, RECKLESS ENDANGERMENT OFFENSE, OR ANY FELONY OFFENSE INVOLVING A FIREARM.</T_BILL_T_BILLTITLE>
  <T_BILL_T_CHAMBER>senate</T_BILL_T_CHAMBER>
  <T_BILL_T_FILENAME> </T_BILL_T_FILENAME>
  <T_BILL_T_LEGTYPE>bill_statewide</T_BILL_T_LEGTYPE>
  <T_BILL_T_RATNUMBERSTRING>SNone</T_BILL_T_RATNUMBERSTRING>
  <T_BILL_T_SECTIONS>[{"SectionUUID":"008b0e54-df10-44d2-aa30-2c44731e87a0","SectionName":"code_section","SectionNumber":1,"SectionType":"code_section","CodeSections":[{"CodeSectionBookmarkName":"ns_T16C3N605_20f90e78b","IsConstitutionSection":false,"Identity":"16-3-605","IsNew":true,"SubSections":[{"Level":1,"Identity":"T16C3N605SA","SubSectionBookmarkName":"ss_T16C3N605SA_lv1_06c778c18","IsNewSubSection":false,"SubSectionReplacement":""},{"Level":2,"Identity":"T16C3N605S1","SubSectionBookmarkName":"ss_T16C3N605S1_lv2_9dddb083e","IsNewSubSection":false,"SubSectionReplacement":""},{"Level":2,"Identity":"T16C3N605S2","SubSectionBookmarkName":"ss_T16C3N605S2_lv2_654a6d63e","IsNewSubSection":false,"SubSectionReplacement":""},{"Level":1,"Identity":"T16C3N605SB","SubSectionBookmarkName":"ss_T16C3N605SB_lv1_6c3eb500c","IsNewSubSection":false,"SubSectionReplacement":""},{"Level":2,"Identity":"T16C3N605S1","SubSectionBookmarkName":"ss_T16C3N605S1_lv2_b43ee1d4c","IsNewSubSection":false,"SubSectionReplacement":""},{"Level":3,"Identity":"T16C3N605Sa","SubSectionBookmarkName":"ss_T16C3N605Sa_lv3_56a8694e6","IsNewSubSection":false,"SubSectionReplacement":""},{"Level":3,"Identity":"T16C3N605Sb","SubSectionBookmarkName":"ss_T16C3N605Sb_lv3_21d0ff16c","IsNewSubSection":false,"SubSectionReplacement":""},{"Level":3,"Identity":"T16C3N605Sc","SubSectionBookmarkName":"ss_T16C3N605Sc_lv3_c8c7c6c16","IsNewSubSection":false,"SubSectionReplacement":""},{"Level":1,"Identity":"T16C3N605SC","SubSectionBookmarkName":"ss_T16C3N605SC_lv1_103fe8022","IsNewSubSection":false,"SubSectionReplacement":""},{"Level":2,"Identity":"T16C3N605S1","SubSectionBookmarkName":"ss_T16C3N605S1_lv2_e6275ef65","IsNewSubSection":false,"SubSectionReplacement":""},{"Level":2,"Identity":"T16C3N605S2","SubSectionBookmarkName":"ss_T16C3N605S2_lv2_5a2a3bd0d","IsNewSubSection":false,"SubSectionReplacement":""}],"TitleRelatedTo":"","TitleSoAsTo":"CREATE THE OFFENSE OF RECKLESS ENDANGERMENT, TO DEFINE TERMS PERTAINING TO THIS OFFENSE, AND TO PROVIDE PENALTIES","Deleted":false}],"TitleText":"","DisableControls":false,"Deleted":false,"RepealItems":[],"SectionBookmarkName":"bs_num_1_9b1e7fb1a"},{"SectionUUID":"9ede56d6-8479-4611-baca-b9a57611d3e2","SectionName":"code_section","SectionNumber":2,"SectionType":"code_section","CodeSections":[{"CodeSectionBookmarkName":"cs_T16C3N610_3b54451db","IsConstitutionSection":false,"Identity":"16-3-610","IsNew":false,"SubSections":[],"TitleRelatedTo":"Certain offenses committed with a carried or concealed deadly weapon","TitleSoAsTo":"INCLUDE RECKLESS ENDANGERMENT","Deleted":false}],"TitleText":"","DisableControls":false,"Deleted":false,"RepealItems":[],"SectionBookmarkName":"bs_num_2_e88500c6b"},{"SectionUUID":"a4e005c1-52b0-46a1-b7ec-752dd36ef253","SectionName":"code_section","SectionNumber":3,"SectionType":"code_section","CodeSections":[{"CodeSectionBookmarkName":"cs_T17C15N55_495d509ef","IsConstitutionSection":false,"Identity":"17-15-55","IsNew":false,"SubSections":[{"Level":1,"Identity":"T17C15N55SC","SubSectionBookmarkName":"ss_T17C15N55SC_lv1_868798ec2","IsNewSubSection":false,"SubSectionReplacement":""},{"Level":2,"Identity":"T17C15N55S1","SubSectionBookmarkName":"ss_T17C15N55S1_lv2_5a9868525","IsNewSubSection":false,"SubSectionReplacement":""},{"Level":2,"Identity":"T17C15N55S2","SubSectionBookmarkName":"ss_T17C15N55S2_lv2_39399a8cc","IsNewSubSection":false,"SubSectionReplacement":""},{"Level":2,"Identity":"T17C15N55S3","SubSectionBookmarkName":"ss_T17C15N55S3_lv2_ba66940ec","IsNewSubSection":false,"SubSectionReplacement":""},{"Level":2,"Identity":"T17C15N55S4","SubSectionBookmarkName":"ss_T17C15N55S4_lv2_644aa00ca","IsNewSubSection":false,"SubSectionReplacement":""},{"Level":2,"Identity":"T17C15N55S5","SubSectionBookmarkName":"ss_T17C15N55S5_lv2_e7a45ca1d","IsNewSubSection":false,"SubSectionReplacement":""}],"TitleRelatedTo":"Reconsideration by circuit court of bond set by summary court and subsequent violent offenders","TitleSoAsTo":"REQUIRE THE BOND FOR THE OFFENSE OF RECKLESS ENDANGERMENT TO BE HELD IN CIRCUIT COURT IF THE OFFENSE WAS COMMITTED BY A PERSON ALREADY OUT ON BOND FOR A PREVIOUS VIOLENT OFFENSE, RECKLESS ENDANGERMENT OFFENSE, OR ANY FELONY OFFENSE INVOLVING A FIREARM","Deleted":false}],"TitleText":"","DisableControls":false,"Deleted":false,"RepealItems":[],"SectionBookmarkName":"bs_num_3_5d4aba771"},{"SectionUUID":"8f03ca95-8faa-4d43-a9c2-8afc498075bd","SectionName":"standard_eff_date_section","SectionNumber":4,"SectionType":"drafting_clause","CodeSections":[],"TitleText":"","DisableControls":false,"Deleted":false,"RepealItems":[],"SectionBookmarkName":"bs_num_4_lastsection"}]</T_BILL_T_SECTIONS>
  <T_BILL_T_SUBJECT>Reckless Endangerment</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4643</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2024-12-11T17:45:00Z</dcterms:created>
  <dcterms:modified xsi:type="dcterms:W3CDTF">2024-12-11T17:45:00Z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