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Companion/Similar bill(s): 3409</w:t>
      </w:r>
    </w:p>
    <w:p>
      <w:pPr>
        <w:widowControl w:val="false"/>
        <w:spacing w:after="0"/>
        <w:jc w:val="left"/>
      </w:pPr>
      <w:r>
        <w:rPr>
          <w:rFonts w:ascii="Times New Roman"/>
          <w:sz w:val="22"/>
        </w:rPr>
        <w:t xml:space="preserve">Document Path: LC-0198SA25.docx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Income tax credit for conservation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d1064c58a6d44bc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Finance</w:t>
      </w:r>
      <w:r>
        <w:t xml:space="preserve"> (</w:t>
      </w:r>
      <w:hyperlink w:history="true" r:id="R768e77737a844dc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86591c869c46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0add6cb6c64388">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C2F8C" w:rsidRDefault="00432135" w14:paraId="47642A99" w14:textId="39B13AE6">
      <w:pPr>
        <w:pStyle w:val="scemptylineheader"/>
      </w:pPr>
      <w:bookmarkStart w:name="open_doc_here" w:id="0"/>
      <w:bookmarkEnd w:id="0"/>
    </w:p>
    <w:p w:rsidRPr="00BB0725" w:rsidR="00A73EFA" w:rsidP="002C2F8C" w:rsidRDefault="00A73EFA" w14:paraId="7B72410E" w14:textId="5F2D68DD">
      <w:pPr>
        <w:pStyle w:val="scemptylineheader"/>
      </w:pPr>
    </w:p>
    <w:p w:rsidRPr="00BB0725" w:rsidR="00A73EFA" w:rsidP="002C2F8C" w:rsidRDefault="00A73EFA" w14:paraId="6AD935C9" w14:textId="6C1CC1EC">
      <w:pPr>
        <w:pStyle w:val="scemptylineheader"/>
      </w:pPr>
    </w:p>
    <w:p w:rsidRPr="00DF3B44" w:rsidR="00A73EFA" w:rsidP="002C2F8C" w:rsidRDefault="00A73EFA" w14:paraId="51A98227" w14:textId="26485A32">
      <w:pPr>
        <w:pStyle w:val="scemptylineheader"/>
      </w:pPr>
    </w:p>
    <w:p w:rsidRPr="00DF3B44" w:rsidR="00A73EFA" w:rsidP="002C2F8C" w:rsidRDefault="00A73EFA" w14:paraId="3858851A" w14:textId="40B8F386">
      <w:pPr>
        <w:pStyle w:val="scemptylineheader"/>
      </w:pPr>
    </w:p>
    <w:p w:rsidRPr="00DF3B44" w:rsidR="00A73EFA" w:rsidP="002C2F8C" w:rsidRDefault="00A73EFA" w14:paraId="4E3DDE20" w14:textId="126340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6218" w14:paraId="40FEFADA" w14:textId="3D092B83">
          <w:pPr>
            <w:pStyle w:val="scbilltitle"/>
          </w:pPr>
          <w:r>
            <w:t>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w:t>
          </w:r>
          <w:r w:rsidR="005C6FFB">
            <w:t>’</w:t>
          </w:r>
          <w:r>
            <w:t>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sdtContent>
    </w:sdt>
    <w:bookmarkStart w:name="at_65e32f76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866227ab" w:id="2"/>
      <w:r w:rsidRPr="0094541D">
        <w:t>B</w:t>
      </w:r>
      <w:bookmarkEnd w:id="2"/>
      <w:r w:rsidRPr="0094541D">
        <w:t>e it enacted by the General Assembly of the State of South Carolina:</w:t>
      </w:r>
    </w:p>
    <w:p w:rsidR="007C5311" w:rsidP="007C5311" w:rsidRDefault="007C5311" w14:paraId="4C949B45" w14:textId="77777777">
      <w:pPr>
        <w:pStyle w:val="scemptyline"/>
      </w:pPr>
    </w:p>
    <w:p w:rsidR="007C5311" w:rsidP="007C5311" w:rsidRDefault="007C5311" w14:paraId="7C876D99" w14:textId="77777777">
      <w:pPr>
        <w:pStyle w:val="scdirectionallanguage"/>
      </w:pPr>
      <w:bookmarkStart w:name="bs_num_1_c91bb2789" w:id="3"/>
      <w:r>
        <w:t>S</w:t>
      </w:r>
      <w:bookmarkEnd w:id="3"/>
      <w:r>
        <w:t>ECTION 1.</w:t>
      </w:r>
      <w:r>
        <w:tab/>
      </w:r>
      <w:bookmarkStart w:name="dl_a7d8c86e5" w:id="4"/>
      <w:r>
        <w:t>S</w:t>
      </w:r>
      <w:bookmarkEnd w:id="4"/>
      <w:r>
        <w:t>ection 12‑6‑3515 of the S.C. Code is amended to read:</w:t>
      </w:r>
    </w:p>
    <w:p w:rsidR="007C5311" w:rsidP="007C5311" w:rsidRDefault="007C5311" w14:paraId="604229A1" w14:textId="77777777">
      <w:pPr>
        <w:pStyle w:val="sccodifiedsection"/>
      </w:pPr>
    </w:p>
    <w:p w:rsidR="007C5311" w:rsidP="007C5311" w:rsidRDefault="007C5311" w14:paraId="137511E8" w14:textId="2B467E4A">
      <w:pPr>
        <w:pStyle w:val="sccodifiedsection"/>
      </w:pPr>
      <w:r>
        <w:tab/>
      </w:r>
      <w:bookmarkStart w:name="cs_T12C6N3515_81734c2e9" w:id="5"/>
      <w:r>
        <w:t>S</w:t>
      </w:r>
      <w:bookmarkEnd w:id="5"/>
      <w:r>
        <w:t>ection 12‑6‑3515.</w:t>
      </w:r>
      <w:r>
        <w:tab/>
      </w:r>
      <w:bookmarkStart w:name="ss_T12C6N3515SA_lv1_458f9f490" w:id="6"/>
      <w:r>
        <w:t>(</w:t>
      </w:r>
      <w:bookmarkEnd w:id="6"/>
      <w:r>
        <w:t>A) A taxpayer who has qualified for and claimed on the taxpayer</w:t>
      </w:r>
      <w:r w:rsidR="009E18F0">
        <w:t>’</w:t>
      </w:r>
      <w:r>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twenty‑five percent of the total</w:t>
      </w:r>
      <w:r>
        <w:rPr>
          <w:rStyle w:val="scstrike"/>
        </w:rPr>
        <w:t xml:space="preserve"> amount of the deduction</w:t>
      </w:r>
      <w:r w:rsidR="009E18F0">
        <w:rPr>
          <w:rStyle w:val="scinsert"/>
        </w:rPr>
        <w:t xml:space="preserve"> </w:t>
      </w:r>
      <w:r w:rsidR="00DD65EF">
        <w:rPr>
          <w:rStyle w:val="scinsert"/>
        </w:rPr>
        <w:t>value</w:t>
      </w:r>
      <w:r>
        <w:t xml:space="preserve"> attributable to the gift of land for conservation or to the qualified real property interest located in this State</w:t>
      </w:r>
      <w:r>
        <w:rPr>
          <w:rStyle w:val="scstrike"/>
        </w:rPr>
        <w:t>;  provided, however,</w:t>
      </w:r>
      <w:r w:rsidR="00DD65EF">
        <w:rPr>
          <w:rStyle w:val="scinsert"/>
        </w:rPr>
        <w:t>. However,</w:t>
      </w:r>
      <w:r>
        <w:t xml:space="preserve"> </w:t>
      </w:r>
      <w:r>
        <w:rPr>
          <w:rStyle w:val="scstrike"/>
        </w:rPr>
        <w:t xml:space="preserve">that </w:t>
      </w:r>
      <w:r>
        <w:t>the credit is subject to the caps provided in subsection (C). If the amount of the credit exceeds the taxpayer</w:t>
      </w:r>
      <w:r w:rsidR="009E18F0">
        <w:t>’</w:t>
      </w:r>
      <w:r>
        <w:t xml:space="preserve">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w:t>
      </w:r>
      <w:r>
        <w:rPr>
          <w:rStyle w:val="scstrike"/>
        </w:rPr>
        <w:t>effectual</w:t>
      </w:r>
      <w:r w:rsidR="00DD65EF">
        <w:rPr>
          <w:rStyle w:val="scinsert"/>
        </w:rPr>
        <w:t>effective</w:t>
      </w:r>
      <w:r>
        <w:t xml:space="preserve">, </w:t>
      </w:r>
      <w:r>
        <w:rPr>
          <w:rStyle w:val="scstrike"/>
        </w:rPr>
        <w:t xml:space="preserve">such </w:t>
      </w:r>
      <w:r>
        <w:t xml:space="preserve">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w:t>
      </w:r>
      <w:r>
        <w:lastRenderedPageBreak/>
        <w:t>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9E18F0">
        <w:t>’</w:t>
      </w:r>
      <w:r>
        <w:t>s total state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p>
    <w:p w:rsidR="007C5311" w:rsidP="007C5311" w:rsidRDefault="007C5311" w14:paraId="69CEA08D" w14:textId="77777777">
      <w:pPr>
        <w:pStyle w:val="sccodifiedsection"/>
      </w:pPr>
      <w:r>
        <w:tab/>
      </w:r>
      <w:bookmarkStart w:name="ss_T12C6N3515SB_lv1_330f74f8f" w:id="7"/>
      <w:r>
        <w:t>(</w:t>
      </w:r>
      <w:bookmarkEnd w:id="7"/>
      <w:r>
        <w:t>B)</w:t>
      </w:r>
      <w:bookmarkStart w:name="ss_T12C6N3515S1_lv2_d788b8e37" w:id="8"/>
      <w:r>
        <w:t>(</w:t>
      </w:r>
      <w:bookmarkEnd w:id="8"/>
      <w:r>
        <w:t>1) For purposes of this section:</w:t>
      </w:r>
    </w:p>
    <w:p w:rsidR="007C5311" w:rsidP="007C5311" w:rsidRDefault="007C5311" w14:paraId="0699A637" w14:textId="77777777">
      <w:pPr>
        <w:pStyle w:val="sccodifiedsection"/>
      </w:pPr>
      <w:r>
        <w:tab/>
      </w:r>
      <w:r>
        <w:tab/>
      </w:r>
      <w:r>
        <w:tab/>
      </w:r>
      <w:bookmarkStart w:name="ss_T12C6N3515Sa_lv3_59e9e5524" w:id="9"/>
      <w:r>
        <w:t>(</w:t>
      </w:r>
      <w:bookmarkEnd w:id="9"/>
      <w:r>
        <w:t>a) “Qualified conservation contribution” and a “qualified real property interest” are defined as provided in Internal Revenue Code Section 170(h);</w:t>
      </w:r>
    </w:p>
    <w:p w:rsidR="007C5311" w:rsidP="007C5311" w:rsidRDefault="007C5311" w14:paraId="2D21F527" w14:textId="77777777">
      <w:pPr>
        <w:pStyle w:val="sccodifiedsection"/>
      </w:pPr>
      <w:r>
        <w:tab/>
      </w:r>
      <w:r>
        <w:tab/>
      </w:r>
      <w:r>
        <w:tab/>
      </w:r>
      <w:bookmarkStart w:name="ss_T12C6N3515Sb_lv3_d759b7c90" w:id="10"/>
      <w:r>
        <w:t>(</w:t>
      </w:r>
      <w:bookmarkEnd w:id="10"/>
      <w:r>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p>
    <w:p w:rsidR="007C5311" w:rsidP="007C5311" w:rsidRDefault="007C5311" w14:paraId="63950C80" w14:textId="242F3E84">
      <w:pPr>
        <w:pStyle w:val="sccodifiedsection"/>
      </w:pPr>
      <w:r>
        <w:tab/>
      </w:r>
      <w:r>
        <w:tab/>
      </w:r>
      <w:r>
        <w:tab/>
      </w:r>
      <w:bookmarkStart w:name="ss_T12C6N3515Sc_lv3_734772062" w:id="11"/>
      <w:r>
        <w:t>(</w:t>
      </w:r>
      <w:bookmarkEnd w:id="11"/>
      <w:r>
        <w:t>c)</w:t>
      </w:r>
      <w:r>
        <w:rPr>
          <w:rStyle w:val="scstrike"/>
        </w:rPr>
        <w:t xml:space="preserve"> No</w:t>
      </w:r>
      <w:r>
        <w:t xml:space="preserve"> </w:t>
      </w:r>
      <w:r w:rsidR="00DD65EF">
        <w:rPr>
          <w:rStyle w:val="scinsert"/>
        </w:rPr>
        <w:t xml:space="preserve">A </w:t>
      </w:r>
      <w:r>
        <w:t>credit is</w:t>
      </w:r>
      <w:r w:rsidR="00DD65EF">
        <w:rPr>
          <w:rStyle w:val="scinsert"/>
        </w:rPr>
        <w:t xml:space="preserve"> not</w:t>
      </w:r>
      <w:r>
        <w:t xml:space="preserve"> allowed pursuant to this section unless the contribution meets the requirements of Section 170 of the Internal Revenue Code, this section, and Section 12‑6‑5590. Property used for or associated with the playing of golf, or is planned to be so used or associated, is not eligible for the credits allowed by this section.</w:t>
      </w:r>
    </w:p>
    <w:p w:rsidR="007C5311" w:rsidP="007C5311" w:rsidRDefault="007C5311" w14:paraId="5542D8BF" w14:textId="6A9979A8">
      <w:pPr>
        <w:pStyle w:val="sccodifiedsection"/>
      </w:pPr>
      <w:r>
        <w:tab/>
      </w:r>
      <w:r>
        <w:tab/>
      </w:r>
      <w:bookmarkStart w:name="ss_T12C6N3515S2_lv2_34d0bf410" w:id="12"/>
      <w:r>
        <w:t>(</w:t>
      </w:r>
      <w:bookmarkEnd w:id="12"/>
      <w:r>
        <w:t>2)</w:t>
      </w:r>
      <w:bookmarkStart w:name="ss_T12C6N3515Sa_lv3_4b91f6185" w:id="13"/>
      <w:r w:rsidR="00DD65EF">
        <w:rPr>
          <w:rStyle w:val="scinsert"/>
        </w:rPr>
        <w:t>(</w:t>
      </w:r>
      <w:bookmarkEnd w:id="13"/>
      <w:r w:rsidR="00DD65EF">
        <w:rPr>
          <w:rStyle w:val="scinsert"/>
        </w:rPr>
        <w:t>a)</w:t>
      </w:r>
      <w:r>
        <w:t xml:space="preserve">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7C5311" w:rsidP="007C5311" w:rsidRDefault="007C5311" w14:paraId="70034680" w14:textId="7993BBD3">
      <w:pPr>
        <w:pStyle w:val="sccodifiedsection"/>
      </w:pPr>
      <w:r>
        <w:tab/>
      </w:r>
      <w:r>
        <w:tab/>
      </w:r>
      <w:r>
        <w:tab/>
      </w:r>
      <w:r>
        <w:rPr>
          <w:rStyle w:val="scstrike"/>
        </w:rPr>
        <w:t>(a)</w:t>
      </w:r>
      <w:bookmarkStart w:name="ss_T12C6N3515Si_lv4_a80e5a1a0" w:id="14"/>
      <w:r w:rsidR="00DD65EF">
        <w:rPr>
          <w:rStyle w:val="scinsert"/>
        </w:rPr>
        <w:t>(</w:t>
      </w:r>
      <w:bookmarkEnd w:id="14"/>
      <w:r w:rsidR="00DD65EF">
        <w:rPr>
          <w:rStyle w:val="scinsert"/>
        </w:rPr>
        <w:t>i)</w:t>
      </w:r>
      <w:r>
        <w:t xml:space="preserve">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7C5311" w:rsidP="007C5311" w:rsidRDefault="007C5311" w14:paraId="31B45890" w14:textId="186BD25E">
      <w:pPr>
        <w:pStyle w:val="sccodifiedsection"/>
      </w:pPr>
      <w:r>
        <w:tab/>
      </w:r>
      <w:r>
        <w:tab/>
      </w:r>
      <w:r>
        <w:tab/>
      </w:r>
      <w:r>
        <w:rPr>
          <w:rStyle w:val="scstrike"/>
        </w:rPr>
        <w:t>(b)</w:t>
      </w:r>
      <w:bookmarkStart w:name="ss_T12C6N3515Sii_lv3_2509c1d70" w:id="15"/>
      <w:r w:rsidR="00DD65EF">
        <w:rPr>
          <w:rStyle w:val="scinsert"/>
        </w:rPr>
        <w:t>(</w:t>
      </w:r>
      <w:bookmarkEnd w:id="15"/>
      <w:r w:rsidR="00DD65EF">
        <w:rPr>
          <w:rStyle w:val="scinsert"/>
        </w:rPr>
        <w:t>ii)</w:t>
      </w:r>
      <w:r>
        <w:t xml:space="preserve"> the conservation contribution on a real property interest in all other respects conforms to the requirements of Internal Revenue Code Section 170(h) and applicable regulations for a “qualified conservation contribution” of a “qualified real property interest”;  and</w:t>
      </w:r>
    </w:p>
    <w:p w:rsidR="007C5311" w:rsidP="007C5311" w:rsidRDefault="007C5311" w14:paraId="64DBCA76" w14:textId="719C33A5">
      <w:pPr>
        <w:pStyle w:val="sccodifiedsection"/>
      </w:pPr>
      <w:r>
        <w:tab/>
      </w:r>
      <w:r>
        <w:tab/>
      </w:r>
      <w:r>
        <w:tab/>
      </w:r>
      <w:r>
        <w:rPr>
          <w:rStyle w:val="scstrike"/>
        </w:rPr>
        <w:t>(c)</w:t>
      </w:r>
      <w:bookmarkStart w:name="ss_T12C6N3515Siii_lv4_1f15fe46e" w:id="16"/>
      <w:r w:rsidR="00DD65EF">
        <w:rPr>
          <w:rStyle w:val="scinsert"/>
        </w:rPr>
        <w:t>(</w:t>
      </w:r>
      <w:bookmarkEnd w:id="16"/>
      <w:r w:rsidR="00DD65EF">
        <w:rPr>
          <w:rStyle w:val="scinsert"/>
        </w:rPr>
        <w:t>iii)</w:t>
      </w:r>
      <w:r>
        <w:t xml:space="preserve"> the taxpayer provides the Department of Revenue with the information the department considers necessary to determine that the taxpayer would otherwise be eligible for the deduction allowed under Section 170(h).</w:t>
      </w:r>
    </w:p>
    <w:p w:rsidR="007C5311" w:rsidP="007C5311" w:rsidRDefault="007C5311" w14:paraId="08CB1430" w14:textId="4393D256">
      <w:pPr>
        <w:pStyle w:val="sccodifiedsection"/>
      </w:pPr>
      <w:r>
        <w:tab/>
      </w:r>
      <w:r>
        <w:tab/>
      </w:r>
      <w:bookmarkStart w:name="ss_T12C6N3515Sb_lv3_4f4c2dad6" w:id="17"/>
      <w:r w:rsidR="00DD65EF">
        <w:rPr>
          <w:rStyle w:val="scinsert"/>
        </w:rPr>
        <w:t>(</w:t>
      </w:r>
      <w:bookmarkEnd w:id="17"/>
      <w:r w:rsidR="00DD65EF">
        <w:rPr>
          <w:rStyle w:val="scinsert"/>
        </w:rPr>
        <w:t xml:space="preserve">b) </w:t>
      </w:r>
      <w:r>
        <w:t>The amount of the credit allowable under this item is equal to twenty‑five percent of the</w:t>
      </w:r>
      <w:r>
        <w:rPr>
          <w:rStyle w:val="scstrike"/>
        </w:rPr>
        <w:t xml:space="preserve"> deduction</w:t>
      </w:r>
      <w:r>
        <w:t xml:space="preserve"> </w:t>
      </w:r>
      <w:r w:rsidRPr="00DD65EF" w:rsidR="00DD65EF">
        <w:rPr>
          <w:rStyle w:val="scinsert"/>
        </w:rPr>
        <w:t xml:space="preserve">total value attributable to the gift of land for conservation or to the qualified real property interest </w:t>
      </w:r>
      <w:r>
        <w:t>that would otherwise be allowable under Section 170(h) but for the silvacultural and forestry activities performed on the real property interest, subject to the same conditions and limitations as the credit allowed by this section.</w:t>
      </w:r>
    </w:p>
    <w:p w:rsidR="007C5311" w:rsidP="007C5311" w:rsidRDefault="007C5311" w14:paraId="736C083E" w14:textId="05A1DFF8">
      <w:pPr>
        <w:pStyle w:val="sccodifiedsection"/>
      </w:pPr>
      <w:r>
        <w:tab/>
      </w:r>
      <w:bookmarkStart w:name="ss_T12C6N3515SC_lv1_4b6f1b3db" w:id="18"/>
      <w:r>
        <w:t>(</w:t>
      </w:r>
      <w:bookmarkEnd w:id="18"/>
      <w:r>
        <w:t>C)</w:t>
      </w:r>
      <w:bookmarkStart w:name="ss_T12C6N3515S1_lv2_2ac7a43e6" w:id="19"/>
      <w:r>
        <w:t>(</w:t>
      </w:r>
      <w:bookmarkEnd w:id="19"/>
      <w:r>
        <w:t>1) The credit provided for in this section may not exceed two hundred fifty dollars</w:t>
      </w:r>
      <w:r>
        <w:rPr>
          <w:rStyle w:val="scstrike"/>
        </w:rPr>
        <w:t xml:space="preserve"> per</w:t>
      </w:r>
      <w:r>
        <w:t xml:space="preserve"> </w:t>
      </w:r>
      <w:r w:rsidR="00DD65EF">
        <w:rPr>
          <w:rStyle w:val="scinsert"/>
        </w:rPr>
        <w:t xml:space="preserve">an </w:t>
      </w:r>
      <w:r>
        <w:t xml:space="preserve">acre of property to which the qualified conservation contribution or gift of land for conservation applies. For the purpose of calculating the </w:t>
      </w:r>
      <w:r>
        <w:rPr>
          <w:rStyle w:val="scstrike"/>
        </w:rPr>
        <w:t xml:space="preserve">per acre </w:t>
      </w:r>
      <w:r>
        <w:t xml:space="preserve">tax credit cap </w:t>
      </w:r>
      <w:r w:rsidR="00DD65EF">
        <w:rPr>
          <w:rStyle w:val="scinsert"/>
        </w:rPr>
        <w:t xml:space="preserve">on each acre </w:t>
      </w:r>
      <w:r>
        <w:t>of this subsection, all upland and wetland acreage subject to the qualified conservation contribution</w:t>
      </w:r>
      <w:r>
        <w:rPr>
          <w:rStyle w:val="scstrike"/>
        </w:rPr>
        <w:t xml:space="preserve"> shall</w:t>
      </w:r>
      <w:r>
        <w:t xml:space="preserve"> </w:t>
      </w:r>
      <w:r w:rsidR="00DD65EF">
        <w:rPr>
          <w:rStyle w:val="scinsert"/>
        </w:rPr>
        <w:t xml:space="preserve">must </w:t>
      </w:r>
      <w:r>
        <w:t>be taken into account, except for property lying within the intertidal zone. All other wetland acreage subject to the qualified conservation contribution including, but not limited to, ponds, wetland impoundments, hardwood bottomlands, and Carolina Bays</w:t>
      </w:r>
      <w:r>
        <w:rPr>
          <w:rStyle w:val="scstrike"/>
        </w:rPr>
        <w:t xml:space="preserve"> shall</w:t>
      </w:r>
      <w:r>
        <w:t xml:space="preserve"> </w:t>
      </w:r>
      <w:r w:rsidR="00DD65EF">
        <w:rPr>
          <w:rStyle w:val="scinsert"/>
        </w:rPr>
        <w:t xml:space="preserve">must </w:t>
      </w:r>
      <w:r>
        <w:t>be taken into account when calculating the two hundred fifty dollar</w:t>
      </w:r>
      <w:r>
        <w:rPr>
          <w:rStyle w:val="scstrike"/>
        </w:rPr>
        <w:t xml:space="preserve"> per</w:t>
      </w:r>
      <w:r>
        <w:t xml:space="preserve"> </w:t>
      </w:r>
      <w:r w:rsidR="00DD65EF">
        <w:rPr>
          <w:rStyle w:val="scinsert"/>
        </w:rPr>
        <w:t xml:space="preserve">an </w:t>
      </w:r>
      <w:r>
        <w:t>acre tax credit cap.</w:t>
      </w:r>
    </w:p>
    <w:p w:rsidR="007C5311" w:rsidP="007C5311" w:rsidRDefault="007C5311" w14:paraId="17B640D3" w14:textId="401769CE">
      <w:pPr>
        <w:pStyle w:val="sccodifiedsection"/>
      </w:pPr>
      <w:r>
        <w:tab/>
      </w:r>
      <w:r>
        <w:tab/>
      </w:r>
      <w:bookmarkStart w:name="ss_T12C6N3515S2_lv2_2e0cbf380" w:id="20"/>
      <w:r>
        <w:t>(</w:t>
      </w:r>
      <w:bookmarkEnd w:id="20"/>
      <w:r>
        <w:t>2)</w:t>
      </w:r>
      <w:bookmarkStart w:name="ss_T12C6N3515Sa_lv3_86e810bb7" w:id="21"/>
      <w:r w:rsidR="00DD65EF">
        <w:rPr>
          <w:rStyle w:val="scinsert"/>
        </w:rPr>
        <w:t>(</w:t>
      </w:r>
      <w:bookmarkEnd w:id="21"/>
      <w:r w:rsidR="00DD65EF">
        <w:rPr>
          <w:rStyle w:val="scinsert"/>
        </w:rPr>
        <w:t>a)</w:t>
      </w:r>
      <w:r>
        <w:t xml:space="preserve"> Regardless of the amount of the credit allowed by this section, the total credit a taxpayer may use under this section for any particular taxable year may not exceed</w:t>
      </w:r>
      <w:r>
        <w:rPr>
          <w:rStyle w:val="scstrike"/>
        </w:rPr>
        <w:t xml:space="preserve"> fifty‑two</w:t>
      </w:r>
      <w:r w:rsidR="009E18F0">
        <w:rPr>
          <w:rStyle w:val="scinsert"/>
        </w:rPr>
        <w:t xml:space="preserve"> </w:t>
      </w:r>
      <w:r w:rsidR="00DD65EF">
        <w:rPr>
          <w:rStyle w:val="scinsert"/>
        </w:rPr>
        <w:t>one hundred fifty</w:t>
      </w:r>
      <w:r>
        <w:t xml:space="preserve"> thousand</w:t>
      </w:r>
      <w:r>
        <w:rPr>
          <w:rStyle w:val="scstrike"/>
        </w:rPr>
        <w:t xml:space="preserve"> five hundred</w:t>
      </w:r>
      <w:r>
        <w:t xml:space="preserve"> dollars.</w:t>
      </w:r>
    </w:p>
    <w:p w:rsidR="00DD65EF" w:rsidP="007C5311" w:rsidRDefault="00DD65EF" w14:paraId="3125993E" w14:textId="681597F5">
      <w:pPr>
        <w:pStyle w:val="sccodifiedsection"/>
      </w:pPr>
      <w:r>
        <w:rPr>
          <w:rStyle w:val="scinsert"/>
        </w:rPr>
        <w:tab/>
      </w:r>
      <w:r>
        <w:rPr>
          <w:rStyle w:val="scinsert"/>
        </w:rPr>
        <w:tab/>
      </w:r>
      <w:r>
        <w:rPr>
          <w:rStyle w:val="scinsert"/>
        </w:rPr>
        <w:tab/>
      </w:r>
      <w:bookmarkStart w:name="ss_T12C6N3515Sb_lv3_9f6bcf03b" w:id="22"/>
      <w:r>
        <w:rPr>
          <w:rStyle w:val="scinsert"/>
        </w:rPr>
        <w:t>(</w:t>
      </w:r>
      <w:bookmarkEnd w:id="22"/>
      <w:r>
        <w:rPr>
          <w:rStyle w:val="scinsert"/>
        </w:rPr>
        <w:t xml:space="preserve">b) </w:t>
      </w:r>
      <w:r w:rsidRPr="00DD65EF">
        <w:rPr>
          <w:rStyle w:val="scinsert"/>
        </w:rPr>
        <w:t>For taxable years beginning after 202</w:t>
      </w:r>
      <w:r>
        <w:rPr>
          <w:rStyle w:val="scinsert"/>
        </w:rPr>
        <w:t>4</w:t>
      </w:r>
      <w:r w:rsidRPr="00DD65EF">
        <w:rPr>
          <w:rStyle w:val="scinsert"/>
        </w:rPr>
        <w:t>, the total annual credit allowed pursuant to this item must be adjusted cumulatively by the Department of Revenue by the percentage and in the manner that adjustments are made pursuant to Internal Revenue Code Section 1(f) and this amount, as adjusted, applies for the succeeding taxable year.</w:t>
      </w:r>
    </w:p>
    <w:p w:rsidR="007C5311" w:rsidP="007C5311" w:rsidRDefault="007C5311" w14:paraId="7B8A1851" w14:textId="16EC2A2D">
      <w:pPr>
        <w:pStyle w:val="sccodifiedsection"/>
      </w:pPr>
      <w:r>
        <w:tab/>
      </w:r>
      <w:r>
        <w:tab/>
      </w:r>
      <w:bookmarkStart w:name="ss_T12C6N3515S3_lv2_30721776a" w:id="23"/>
      <w:r>
        <w:t>(</w:t>
      </w:r>
      <w:bookmarkEnd w:id="23"/>
      <w:r>
        <w:t>3) For purposes of applying the</w:t>
      </w:r>
      <w:r>
        <w:rPr>
          <w:rStyle w:val="scstrike"/>
        </w:rPr>
        <w:t xml:space="preserve"> per acre</w:t>
      </w:r>
      <w:r>
        <w:t xml:space="preserve"> limitation</w:t>
      </w:r>
      <w:r w:rsidR="00DD65EF">
        <w:rPr>
          <w:rStyle w:val="scinsert"/>
        </w:rPr>
        <w:t xml:space="preserve"> on each acre</w:t>
      </w:r>
      <w:r>
        <w:t xml:space="preserve"> and</w:t>
      </w:r>
      <w:r>
        <w:rPr>
          <w:rStyle w:val="scstrike"/>
        </w:rPr>
        <w:t xml:space="preserve"> per</w:t>
      </w:r>
      <w:r>
        <w:t xml:space="preserve"> </w:t>
      </w:r>
      <w:r w:rsidR="00DD65EF">
        <w:rPr>
          <w:rStyle w:val="scinsert"/>
        </w:rPr>
        <w:t xml:space="preserve">a </w:t>
      </w:r>
      <w:r>
        <w:t>taxpayer limitation on the credit allowed by this section, the attribution rules of Section 267 of the Internal Revenue Code apply.</w:t>
      </w:r>
    </w:p>
    <w:p w:rsidR="007C5311" w:rsidDel="00DD65EF" w:rsidP="007C5311" w:rsidRDefault="007C5311" w14:paraId="5E37EBB4" w14:textId="46291E1F">
      <w:pPr>
        <w:pStyle w:val="sccodifiedsection"/>
      </w:pPr>
      <w:r>
        <w:rPr>
          <w:rStyle w:val="scstrike"/>
        </w:rPr>
        <w:tab/>
        <w:t>(D) The South Carolina Department of Revenue shall report to the Governor, the House Ways and Means Committee, and Senate Finance Committee the activity generated on taxable year 2001 and 2002 state income tax returns by the credit allowed by this item.</w:t>
      </w:r>
    </w:p>
    <w:p w:rsidRPr="00DF3B44" w:rsidR="007E06BB" w:rsidP="00787433" w:rsidRDefault="007E06BB" w14:paraId="3D8F1FED" w14:textId="7C15750A">
      <w:pPr>
        <w:pStyle w:val="scemptyline"/>
      </w:pPr>
    </w:p>
    <w:p w:rsidRPr="00DF3B44" w:rsidR="007A10F1" w:rsidP="007A10F1" w:rsidRDefault="00E27805" w14:paraId="0E9393B4" w14:textId="204CEAD0">
      <w:pPr>
        <w:pStyle w:val="scnoncodifiedsection"/>
      </w:pPr>
      <w:bookmarkStart w:name="bs_num_2_lastsection" w:id="24"/>
      <w:bookmarkStart w:name="eff_date_section" w:id="25"/>
      <w:r w:rsidRPr="00DF3B44">
        <w:t>S</w:t>
      </w:r>
      <w:bookmarkEnd w:id="24"/>
      <w:r w:rsidRPr="00DF3B44">
        <w:t>ECTION 2.</w:t>
      </w:r>
      <w:r w:rsidRPr="00DF3B44" w:rsidR="005D3013">
        <w:tab/>
      </w:r>
      <w:r w:rsidRPr="00DD65EF" w:rsidR="00DD65EF">
        <w:t>This act takes effect upon approval by the Governor and applies for qualified conservation contributions made after 202</w:t>
      </w:r>
      <w:r w:rsidR="00DD65EF">
        <w:t>4</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41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985047" w:rsidR="00685035" w:rsidRPr="007B4AF7" w:rsidRDefault="00463C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2657">
              <w:rPr>
                <w:noProof/>
              </w:rPr>
              <w:t>LC-0198SA25.docx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EA4"/>
    <w:rsid w:val="00072FCD"/>
    <w:rsid w:val="00074A4F"/>
    <w:rsid w:val="00077B65"/>
    <w:rsid w:val="000A3C25"/>
    <w:rsid w:val="000B4C02"/>
    <w:rsid w:val="000B5B4A"/>
    <w:rsid w:val="000B7FE1"/>
    <w:rsid w:val="000C3E88"/>
    <w:rsid w:val="000C46B9"/>
    <w:rsid w:val="000C58E4"/>
    <w:rsid w:val="000C6F9A"/>
    <w:rsid w:val="000C703D"/>
    <w:rsid w:val="000D2F44"/>
    <w:rsid w:val="000D33E4"/>
    <w:rsid w:val="000E578A"/>
    <w:rsid w:val="000E7E46"/>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7BBF"/>
    <w:rsid w:val="001B6DA2"/>
    <w:rsid w:val="001C25EC"/>
    <w:rsid w:val="001D277C"/>
    <w:rsid w:val="001F2A41"/>
    <w:rsid w:val="001F313F"/>
    <w:rsid w:val="001F331D"/>
    <w:rsid w:val="001F394C"/>
    <w:rsid w:val="002038AA"/>
    <w:rsid w:val="00204815"/>
    <w:rsid w:val="002114C8"/>
    <w:rsid w:val="0021166F"/>
    <w:rsid w:val="002162DF"/>
    <w:rsid w:val="00230038"/>
    <w:rsid w:val="00233975"/>
    <w:rsid w:val="00236D73"/>
    <w:rsid w:val="00246535"/>
    <w:rsid w:val="00257F60"/>
    <w:rsid w:val="002625EA"/>
    <w:rsid w:val="00262AC5"/>
    <w:rsid w:val="00264AE9"/>
    <w:rsid w:val="00275774"/>
    <w:rsid w:val="00275AE6"/>
    <w:rsid w:val="002836D8"/>
    <w:rsid w:val="00296C63"/>
    <w:rsid w:val="002A7989"/>
    <w:rsid w:val="002B02F3"/>
    <w:rsid w:val="002B0A1B"/>
    <w:rsid w:val="002C2F8C"/>
    <w:rsid w:val="002C3463"/>
    <w:rsid w:val="002C4F9E"/>
    <w:rsid w:val="002D266D"/>
    <w:rsid w:val="002D5B3D"/>
    <w:rsid w:val="002D7447"/>
    <w:rsid w:val="002E315A"/>
    <w:rsid w:val="002E4F8C"/>
    <w:rsid w:val="002F560C"/>
    <w:rsid w:val="002F5847"/>
    <w:rsid w:val="00300517"/>
    <w:rsid w:val="0030425A"/>
    <w:rsid w:val="003421F1"/>
    <w:rsid w:val="0034279C"/>
    <w:rsid w:val="00354F64"/>
    <w:rsid w:val="003559A1"/>
    <w:rsid w:val="00361563"/>
    <w:rsid w:val="00371D36"/>
    <w:rsid w:val="00373E17"/>
    <w:rsid w:val="00374331"/>
    <w:rsid w:val="00376F90"/>
    <w:rsid w:val="003775E6"/>
    <w:rsid w:val="00381998"/>
    <w:rsid w:val="003A5F1C"/>
    <w:rsid w:val="003B4123"/>
    <w:rsid w:val="003C3E2E"/>
    <w:rsid w:val="003C4EF7"/>
    <w:rsid w:val="003D4A3C"/>
    <w:rsid w:val="003D55B2"/>
    <w:rsid w:val="003E0033"/>
    <w:rsid w:val="003E5452"/>
    <w:rsid w:val="003E7165"/>
    <w:rsid w:val="003E7FF6"/>
    <w:rsid w:val="00402549"/>
    <w:rsid w:val="004046B5"/>
    <w:rsid w:val="00406F27"/>
    <w:rsid w:val="004141B8"/>
    <w:rsid w:val="00414895"/>
    <w:rsid w:val="004157FB"/>
    <w:rsid w:val="00416E30"/>
    <w:rsid w:val="004203B9"/>
    <w:rsid w:val="00426818"/>
    <w:rsid w:val="00432135"/>
    <w:rsid w:val="00436218"/>
    <w:rsid w:val="00446987"/>
    <w:rsid w:val="00446D28"/>
    <w:rsid w:val="00463C0E"/>
    <w:rsid w:val="00466CD0"/>
    <w:rsid w:val="00473583"/>
    <w:rsid w:val="00477F32"/>
    <w:rsid w:val="00481850"/>
    <w:rsid w:val="004851A0"/>
    <w:rsid w:val="0048627F"/>
    <w:rsid w:val="004932AB"/>
    <w:rsid w:val="00494BEF"/>
    <w:rsid w:val="004A428E"/>
    <w:rsid w:val="004A4563"/>
    <w:rsid w:val="004A5512"/>
    <w:rsid w:val="004A6BE5"/>
    <w:rsid w:val="004B0C18"/>
    <w:rsid w:val="004C1A04"/>
    <w:rsid w:val="004C20BC"/>
    <w:rsid w:val="004C5C9A"/>
    <w:rsid w:val="004D1442"/>
    <w:rsid w:val="004D3DCB"/>
    <w:rsid w:val="004E1946"/>
    <w:rsid w:val="004E66E9"/>
    <w:rsid w:val="004E6995"/>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6E3C"/>
    <w:rsid w:val="00592A40"/>
    <w:rsid w:val="005A2489"/>
    <w:rsid w:val="005A28BC"/>
    <w:rsid w:val="005A5377"/>
    <w:rsid w:val="005B7817"/>
    <w:rsid w:val="005C06C8"/>
    <w:rsid w:val="005C23D7"/>
    <w:rsid w:val="005C40EB"/>
    <w:rsid w:val="005C6FFB"/>
    <w:rsid w:val="005D02B4"/>
    <w:rsid w:val="005D3013"/>
    <w:rsid w:val="005E1E50"/>
    <w:rsid w:val="005E2B9C"/>
    <w:rsid w:val="005E3332"/>
    <w:rsid w:val="005F3419"/>
    <w:rsid w:val="005F76B0"/>
    <w:rsid w:val="00604429"/>
    <w:rsid w:val="006067B0"/>
    <w:rsid w:val="00606A8B"/>
    <w:rsid w:val="00611EBA"/>
    <w:rsid w:val="006213A8"/>
    <w:rsid w:val="00623BEA"/>
    <w:rsid w:val="00631AF3"/>
    <w:rsid w:val="006347E9"/>
    <w:rsid w:val="00640C87"/>
    <w:rsid w:val="006454BB"/>
    <w:rsid w:val="00657CF4"/>
    <w:rsid w:val="00661463"/>
    <w:rsid w:val="00663B8D"/>
    <w:rsid w:val="00663E00"/>
    <w:rsid w:val="00664F48"/>
    <w:rsid w:val="00664FAD"/>
    <w:rsid w:val="00672CA4"/>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BEF"/>
    <w:rsid w:val="00711AA9"/>
    <w:rsid w:val="00722155"/>
    <w:rsid w:val="00725C12"/>
    <w:rsid w:val="00737F19"/>
    <w:rsid w:val="00754612"/>
    <w:rsid w:val="00763A4C"/>
    <w:rsid w:val="00782BF8"/>
    <w:rsid w:val="00783291"/>
    <w:rsid w:val="00783C75"/>
    <w:rsid w:val="007849D9"/>
    <w:rsid w:val="00787433"/>
    <w:rsid w:val="007978AF"/>
    <w:rsid w:val="007A10F1"/>
    <w:rsid w:val="007A3D50"/>
    <w:rsid w:val="007B2D29"/>
    <w:rsid w:val="007B412F"/>
    <w:rsid w:val="007B4AF7"/>
    <w:rsid w:val="007B4DBF"/>
    <w:rsid w:val="007C5311"/>
    <w:rsid w:val="007C5458"/>
    <w:rsid w:val="007D2C67"/>
    <w:rsid w:val="007E06BB"/>
    <w:rsid w:val="007F50D1"/>
    <w:rsid w:val="008147A2"/>
    <w:rsid w:val="00816D52"/>
    <w:rsid w:val="00831048"/>
    <w:rsid w:val="00834272"/>
    <w:rsid w:val="0084411A"/>
    <w:rsid w:val="008625C1"/>
    <w:rsid w:val="00874BFB"/>
    <w:rsid w:val="0087671D"/>
    <w:rsid w:val="008806F9"/>
    <w:rsid w:val="00887957"/>
    <w:rsid w:val="008A57E3"/>
    <w:rsid w:val="008B5BF4"/>
    <w:rsid w:val="008C0CEE"/>
    <w:rsid w:val="008C1B18"/>
    <w:rsid w:val="008C5F74"/>
    <w:rsid w:val="008D46EC"/>
    <w:rsid w:val="008D4C0B"/>
    <w:rsid w:val="008E0E25"/>
    <w:rsid w:val="008E61A1"/>
    <w:rsid w:val="008F2190"/>
    <w:rsid w:val="009031EF"/>
    <w:rsid w:val="00917EA3"/>
    <w:rsid w:val="00917EE0"/>
    <w:rsid w:val="00921C89"/>
    <w:rsid w:val="00926966"/>
    <w:rsid w:val="00926D03"/>
    <w:rsid w:val="00934036"/>
    <w:rsid w:val="00934889"/>
    <w:rsid w:val="0094541D"/>
    <w:rsid w:val="009473EA"/>
    <w:rsid w:val="0095032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8F0"/>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3B08"/>
    <w:rsid w:val="00AB73BF"/>
    <w:rsid w:val="00AC335C"/>
    <w:rsid w:val="00AC463E"/>
    <w:rsid w:val="00AD3BE2"/>
    <w:rsid w:val="00AD3E3D"/>
    <w:rsid w:val="00AE1EE4"/>
    <w:rsid w:val="00AE2145"/>
    <w:rsid w:val="00AE36EC"/>
    <w:rsid w:val="00AE7406"/>
    <w:rsid w:val="00AE7A52"/>
    <w:rsid w:val="00AF1688"/>
    <w:rsid w:val="00AF46E6"/>
    <w:rsid w:val="00AF5139"/>
    <w:rsid w:val="00B02464"/>
    <w:rsid w:val="00B06EDA"/>
    <w:rsid w:val="00B1161F"/>
    <w:rsid w:val="00B11661"/>
    <w:rsid w:val="00B32B4D"/>
    <w:rsid w:val="00B4137E"/>
    <w:rsid w:val="00B4283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B29"/>
    <w:rsid w:val="00BE4391"/>
    <w:rsid w:val="00BF3E48"/>
    <w:rsid w:val="00C004A1"/>
    <w:rsid w:val="00C15F1B"/>
    <w:rsid w:val="00C16288"/>
    <w:rsid w:val="00C17D1D"/>
    <w:rsid w:val="00C22BBA"/>
    <w:rsid w:val="00C45923"/>
    <w:rsid w:val="00C543E7"/>
    <w:rsid w:val="00C70225"/>
    <w:rsid w:val="00C72198"/>
    <w:rsid w:val="00C73C7D"/>
    <w:rsid w:val="00C75005"/>
    <w:rsid w:val="00C970DF"/>
    <w:rsid w:val="00C97A4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CBC"/>
    <w:rsid w:val="00D54A6F"/>
    <w:rsid w:val="00D57D57"/>
    <w:rsid w:val="00D62E42"/>
    <w:rsid w:val="00D772FB"/>
    <w:rsid w:val="00D815A8"/>
    <w:rsid w:val="00D8718B"/>
    <w:rsid w:val="00DA1AA0"/>
    <w:rsid w:val="00DA512B"/>
    <w:rsid w:val="00DC44A8"/>
    <w:rsid w:val="00DD65EF"/>
    <w:rsid w:val="00DE4BEE"/>
    <w:rsid w:val="00DE5B3D"/>
    <w:rsid w:val="00DE7112"/>
    <w:rsid w:val="00DF19BE"/>
    <w:rsid w:val="00DF3B44"/>
    <w:rsid w:val="00DF4DF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3FDD"/>
    <w:rsid w:val="00EF1B5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134"/>
    <w:rsid w:val="00F44D36"/>
    <w:rsid w:val="00F46262"/>
    <w:rsid w:val="00F4795D"/>
    <w:rsid w:val="00F50A61"/>
    <w:rsid w:val="00F525CD"/>
    <w:rsid w:val="00F5286C"/>
    <w:rsid w:val="00F52E12"/>
    <w:rsid w:val="00F638CA"/>
    <w:rsid w:val="00F657C5"/>
    <w:rsid w:val="00F900B4"/>
    <w:rsid w:val="00FA0F2E"/>
    <w:rsid w:val="00FA2657"/>
    <w:rsid w:val="00FA4DB1"/>
    <w:rsid w:val="00FB3F2A"/>
    <w:rsid w:val="00FB4E85"/>
    <w:rsid w:val="00FC3593"/>
    <w:rsid w:val="00FD117D"/>
    <w:rsid w:val="00FD72E3"/>
    <w:rsid w:val="00FE06FC"/>
    <w:rsid w:val="00FE1CF4"/>
    <w:rsid w:val="00FF0315"/>
    <w:rsid w:val="00FF2121"/>
    <w:rsid w:val="00FF3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3A4C"/>
    <w:rPr>
      <w:rFonts w:ascii="Times New Roman" w:hAnsi="Times New Roman"/>
      <w:b w:val="0"/>
      <w:i w:val="0"/>
      <w:sz w:val="22"/>
    </w:rPr>
  </w:style>
  <w:style w:type="paragraph" w:styleId="NoSpacing">
    <w:name w:val="No Spacing"/>
    <w:uiPriority w:val="1"/>
    <w:qFormat/>
    <w:rsid w:val="00763A4C"/>
    <w:pPr>
      <w:spacing w:after="0" w:line="240" w:lineRule="auto"/>
    </w:pPr>
  </w:style>
  <w:style w:type="paragraph" w:customStyle="1" w:styleId="scemptylineheader">
    <w:name w:val="sc_emptyline_header"/>
    <w:qFormat/>
    <w:rsid w:val="00763A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3A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3A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3A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3A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3A4C"/>
    <w:rPr>
      <w:color w:val="808080"/>
    </w:rPr>
  </w:style>
  <w:style w:type="paragraph" w:customStyle="1" w:styleId="scdirectionallanguage">
    <w:name w:val="sc_directional_language"/>
    <w:qFormat/>
    <w:rsid w:val="00763A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3A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3A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3A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3A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3A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3A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3A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3A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3A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3A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3A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3A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3A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3A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3A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3A4C"/>
    <w:rPr>
      <w:rFonts w:ascii="Times New Roman" w:hAnsi="Times New Roman"/>
      <w:color w:val="auto"/>
      <w:sz w:val="22"/>
    </w:rPr>
  </w:style>
  <w:style w:type="paragraph" w:customStyle="1" w:styleId="scclippagebillheader">
    <w:name w:val="sc_clip_page_bill_header"/>
    <w:qFormat/>
    <w:rsid w:val="00763A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3A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3A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A4C"/>
    <w:rPr>
      <w:lang w:val="en-US"/>
    </w:rPr>
  </w:style>
  <w:style w:type="paragraph" w:styleId="Footer">
    <w:name w:val="footer"/>
    <w:basedOn w:val="Normal"/>
    <w:link w:val="FooterChar"/>
    <w:uiPriority w:val="99"/>
    <w:unhideWhenUsed/>
    <w:rsid w:val="0076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A4C"/>
    <w:rPr>
      <w:lang w:val="en-US"/>
    </w:rPr>
  </w:style>
  <w:style w:type="paragraph" w:styleId="ListParagraph">
    <w:name w:val="List Paragraph"/>
    <w:basedOn w:val="Normal"/>
    <w:uiPriority w:val="34"/>
    <w:qFormat/>
    <w:rsid w:val="00763A4C"/>
    <w:pPr>
      <w:ind w:left="720"/>
      <w:contextualSpacing/>
    </w:pPr>
  </w:style>
  <w:style w:type="paragraph" w:customStyle="1" w:styleId="scbillfooter">
    <w:name w:val="sc_bill_footer"/>
    <w:qFormat/>
    <w:rsid w:val="00763A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3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3A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3A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3A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3A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3A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3A4C"/>
    <w:pPr>
      <w:widowControl w:val="0"/>
      <w:suppressAutoHyphens/>
      <w:spacing w:after="0" w:line="360" w:lineRule="auto"/>
    </w:pPr>
    <w:rPr>
      <w:rFonts w:ascii="Times New Roman" w:hAnsi="Times New Roman"/>
      <w:lang w:val="en-US"/>
    </w:rPr>
  </w:style>
  <w:style w:type="paragraph" w:customStyle="1" w:styleId="sctableln">
    <w:name w:val="sc_table_ln"/>
    <w:qFormat/>
    <w:rsid w:val="00763A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3A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3A4C"/>
    <w:rPr>
      <w:strike/>
      <w:dstrike w:val="0"/>
    </w:rPr>
  </w:style>
  <w:style w:type="character" w:customStyle="1" w:styleId="scinsert">
    <w:name w:val="sc_insert"/>
    <w:uiPriority w:val="1"/>
    <w:qFormat/>
    <w:rsid w:val="00763A4C"/>
    <w:rPr>
      <w:caps w:val="0"/>
      <w:smallCaps w:val="0"/>
      <w:strike w:val="0"/>
      <w:dstrike w:val="0"/>
      <w:vanish w:val="0"/>
      <w:u w:val="single"/>
      <w:vertAlign w:val="baseline"/>
    </w:rPr>
  </w:style>
  <w:style w:type="character" w:customStyle="1" w:styleId="scinsertred">
    <w:name w:val="sc_insert_red"/>
    <w:uiPriority w:val="1"/>
    <w:qFormat/>
    <w:rsid w:val="00763A4C"/>
    <w:rPr>
      <w:caps w:val="0"/>
      <w:smallCaps w:val="0"/>
      <w:strike w:val="0"/>
      <w:dstrike w:val="0"/>
      <w:vanish w:val="0"/>
      <w:color w:val="FF0000"/>
      <w:u w:val="single"/>
      <w:vertAlign w:val="baseline"/>
    </w:rPr>
  </w:style>
  <w:style w:type="character" w:customStyle="1" w:styleId="scinsertblue">
    <w:name w:val="sc_insert_blue"/>
    <w:uiPriority w:val="1"/>
    <w:qFormat/>
    <w:rsid w:val="00763A4C"/>
    <w:rPr>
      <w:caps w:val="0"/>
      <w:smallCaps w:val="0"/>
      <w:strike w:val="0"/>
      <w:dstrike w:val="0"/>
      <w:vanish w:val="0"/>
      <w:color w:val="0070C0"/>
      <w:u w:val="single"/>
      <w:vertAlign w:val="baseline"/>
    </w:rPr>
  </w:style>
  <w:style w:type="character" w:customStyle="1" w:styleId="scstrikered">
    <w:name w:val="sc_strike_red"/>
    <w:uiPriority w:val="1"/>
    <w:qFormat/>
    <w:rsid w:val="00763A4C"/>
    <w:rPr>
      <w:strike/>
      <w:dstrike w:val="0"/>
      <w:color w:val="FF0000"/>
    </w:rPr>
  </w:style>
  <w:style w:type="character" w:customStyle="1" w:styleId="scstrikeblue">
    <w:name w:val="sc_strike_blue"/>
    <w:uiPriority w:val="1"/>
    <w:qFormat/>
    <w:rsid w:val="00763A4C"/>
    <w:rPr>
      <w:strike/>
      <w:dstrike w:val="0"/>
      <w:color w:val="0070C0"/>
    </w:rPr>
  </w:style>
  <w:style w:type="character" w:customStyle="1" w:styleId="scinsertbluenounderline">
    <w:name w:val="sc_insert_blue_no_underline"/>
    <w:uiPriority w:val="1"/>
    <w:qFormat/>
    <w:rsid w:val="00763A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3A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3A4C"/>
    <w:rPr>
      <w:strike/>
      <w:dstrike w:val="0"/>
      <w:color w:val="0070C0"/>
      <w:lang w:val="en-US"/>
    </w:rPr>
  </w:style>
  <w:style w:type="character" w:customStyle="1" w:styleId="scstrikerednoncodified">
    <w:name w:val="sc_strike_red_non_codified"/>
    <w:uiPriority w:val="1"/>
    <w:qFormat/>
    <w:rsid w:val="00763A4C"/>
    <w:rPr>
      <w:strike/>
      <w:dstrike w:val="0"/>
      <w:color w:val="FF0000"/>
    </w:rPr>
  </w:style>
  <w:style w:type="paragraph" w:customStyle="1" w:styleId="scbillsiglines">
    <w:name w:val="sc_bill_sig_lines"/>
    <w:qFormat/>
    <w:rsid w:val="00763A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3A4C"/>
    <w:rPr>
      <w:bdr w:val="none" w:sz="0" w:space="0" w:color="auto"/>
      <w:shd w:val="clear" w:color="auto" w:fill="FEC6C6"/>
    </w:rPr>
  </w:style>
  <w:style w:type="character" w:customStyle="1" w:styleId="screstoreblue">
    <w:name w:val="sc_restore_blue"/>
    <w:uiPriority w:val="1"/>
    <w:qFormat/>
    <w:rsid w:val="00763A4C"/>
    <w:rPr>
      <w:color w:val="4472C4" w:themeColor="accent1"/>
      <w:bdr w:val="none" w:sz="0" w:space="0" w:color="auto"/>
      <w:shd w:val="clear" w:color="auto" w:fill="auto"/>
    </w:rPr>
  </w:style>
  <w:style w:type="character" w:customStyle="1" w:styleId="screstorered">
    <w:name w:val="sc_restore_red"/>
    <w:uiPriority w:val="1"/>
    <w:qFormat/>
    <w:rsid w:val="00763A4C"/>
    <w:rPr>
      <w:color w:val="FF0000"/>
      <w:bdr w:val="none" w:sz="0" w:space="0" w:color="auto"/>
      <w:shd w:val="clear" w:color="auto" w:fill="auto"/>
    </w:rPr>
  </w:style>
  <w:style w:type="character" w:customStyle="1" w:styleId="scstrikenewblue">
    <w:name w:val="sc_strike_new_blue"/>
    <w:uiPriority w:val="1"/>
    <w:qFormat/>
    <w:rsid w:val="00763A4C"/>
    <w:rPr>
      <w:strike w:val="0"/>
      <w:dstrike/>
      <w:color w:val="0070C0"/>
      <w:u w:val="none"/>
    </w:rPr>
  </w:style>
  <w:style w:type="character" w:customStyle="1" w:styleId="scstrikenewred">
    <w:name w:val="sc_strike_new_red"/>
    <w:uiPriority w:val="1"/>
    <w:qFormat/>
    <w:rsid w:val="00763A4C"/>
    <w:rPr>
      <w:strike w:val="0"/>
      <w:dstrike/>
      <w:color w:val="FF0000"/>
      <w:u w:val="none"/>
    </w:rPr>
  </w:style>
  <w:style w:type="character" w:customStyle="1" w:styleId="scamendsenate">
    <w:name w:val="sc_amend_senate"/>
    <w:uiPriority w:val="1"/>
    <w:qFormat/>
    <w:rsid w:val="00763A4C"/>
    <w:rPr>
      <w:bdr w:val="none" w:sz="0" w:space="0" w:color="auto"/>
      <w:shd w:val="clear" w:color="auto" w:fill="FFF2CC" w:themeFill="accent4" w:themeFillTint="33"/>
    </w:rPr>
  </w:style>
  <w:style w:type="character" w:customStyle="1" w:styleId="scamendhouse">
    <w:name w:val="sc_amend_house"/>
    <w:uiPriority w:val="1"/>
    <w:qFormat/>
    <w:rsid w:val="00763A4C"/>
    <w:rPr>
      <w:bdr w:val="none" w:sz="0" w:space="0" w:color="auto"/>
      <w:shd w:val="clear" w:color="auto" w:fill="E2EFD9" w:themeFill="accent6" w:themeFillTint="33"/>
    </w:rPr>
  </w:style>
  <w:style w:type="paragraph" w:styleId="Revision">
    <w:name w:val="Revision"/>
    <w:hidden/>
    <w:uiPriority w:val="99"/>
    <w:semiHidden/>
    <w:rsid w:val="00DD65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2&amp;session=126&amp;summary=B" TargetMode="External" Id="R0986591c869c4688" /><Relationship Type="http://schemas.openxmlformats.org/officeDocument/2006/relationships/hyperlink" Target="https://www.scstatehouse.gov/sess126_2025-2026/prever/252_20250121.docx" TargetMode="External" Id="R300add6cb6c64388" /><Relationship Type="http://schemas.openxmlformats.org/officeDocument/2006/relationships/hyperlink" Target="h:\sj\20250121.docx" TargetMode="External" Id="Rd1064c58a6d44bc1" /><Relationship Type="http://schemas.openxmlformats.org/officeDocument/2006/relationships/hyperlink" Target="h:\sj\20250121.docx" TargetMode="External" Id="R768e77737a844d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2549"/>
    <w:rsid w:val="004E2BB5"/>
    <w:rsid w:val="00580C56"/>
    <w:rsid w:val="006B363F"/>
    <w:rsid w:val="007070D2"/>
    <w:rsid w:val="00776F2C"/>
    <w:rsid w:val="007978AF"/>
    <w:rsid w:val="008D4C0B"/>
    <w:rsid w:val="008F7723"/>
    <w:rsid w:val="009031EF"/>
    <w:rsid w:val="00912A5F"/>
    <w:rsid w:val="00940EED"/>
    <w:rsid w:val="00985255"/>
    <w:rsid w:val="009C3651"/>
    <w:rsid w:val="00A51DBA"/>
    <w:rsid w:val="00AE2145"/>
    <w:rsid w:val="00B20DA6"/>
    <w:rsid w:val="00B457AF"/>
    <w:rsid w:val="00C818FB"/>
    <w:rsid w:val="00CC0451"/>
    <w:rsid w:val="00D47CBC"/>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ce7499a2-e2b0-42b6-b28e-b1a9716ed329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76ebe5d1-765a-4ea7-b172-3d6a1e2d1d5a</T_BILL_REQUEST_REQUEST>
  <T_BILL_R_ORIGINALDRAFT>02980ad9-57f5-47b6-b3d5-482d9556cb71</T_BILL_R_ORIGINALDRAFT>
  <T_BILL_SPONSOR_SPONSOR>4722dce0-6e5f-407d-8013-4961c5f2e3f7</T_BILL_SPONSOR_SPONSOR>
  <T_BILL_T_BILLNAME>[0252]</T_BILL_T_BILLNAME>
  <T_BILL_T_BILLNUMBER>252</T_BILL_T_BILLNUMBER>
  <T_BILL_T_BILLTITLE>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T_BILL_T_BILLTITLE>
  <T_BILL_T_CHAMBER>senate</T_BILL_T_CHAMBER>
  <T_BILL_T_FILENAME> </T_BILL_T_FILENAME>
  <T_BILL_T_LEGTYPE>bill_statewide</T_BILL_T_LEGTYPE>
  <T_BILL_T_RATNUMBERSTRING>SNone</T_BILL_T_RATNUMBERSTRING>
  <T_BILL_T_SECTIONS>[{"SectionUUID":"fe936a73-0cab-41a5-9fc2-0fcd99ff7518","SectionName":"code_section","SectionNumber":1,"SectionType":"code_section","CodeSections":[{"CodeSectionBookmarkName":"cs_T12C6N3515_81734c2e9","IsConstitutionSection":false,"Identity":"12-6-3515","IsNew":false,"SubSections":[{"Level":1,"Identity":"T12C6N3515SA","SubSectionBookmarkName":"ss_T12C6N3515SA_lv1_458f9f490","IsNewSubSection":false,"SubSectionReplacement":""},{"Level":1,"Identity":"T12C6N3515SB","SubSectionBookmarkName":"ss_T12C6N3515SB_lv1_330f74f8f","IsNewSubSection":false,"SubSectionReplacement":""},{"Level":1,"Identity":"T12C6N3515SC","SubSectionBookmarkName":"ss_T12C6N3515SC_lv1_4b6f1b3db","IsNewSubSection":false,"SubSectionReplacement":""},{"Level":2,"Identity":"T12C6N3515S1","SubSectionBookmarkName":"ss_T12C6N3515S1_lv2_d788b8e37","IsNewSubSection":false,"SubSectionReplacement":""},{"Level":3,"Identity":"T12C6N3515Sa","SubSectionBookmarkName":"ss_T12C6N3515Sa_lv3_59e9e5524","IsNewSubSection":false,"SubSectionReplacement":""},{"Level":3,"Identity":"T12C6N3515Sb","SubSectionBookmarkName":"ss_T12C6N3515Sb_lv3_d759b7c90","IsNewSubSection":false,"SubSectionReplacement":""},{"Level":3,"Identity":"T12C6N3515Sc","SubSectionBookmarkName":"ss_T12C6N3515Sc_lv3_734772062","IsNewSubSection":false,"SubSectionReplacement":""},{"Level":2,"Identity":"T12C6N3515S2","SubSectionBookmarkName":"ss_T12C6N3515S2_lv2_34d0bf410","IsNewSubSection":false,"SubSectionReplacement":""},{"Level":3,"Identity":"T12C6N3515Sa","SubSectionBookmarkName":"ss_T12C6N3515Sa_lv3_4b91f6185","IsNewSubSection":false,"SubSectionReplacement":""},{"Level":4,"Identity":"T12C6N3515Si","SubSectionBookmarkName":"ss_T12C6N3515Si_lv4_a80e5a1a0","IsNewSubSection":false,"SubSectionReplacement":""},{"Level":3,"Identity":"T12C6N3515Sii","SubSectionBookmarkName":"ss_T12C6N3515Sii_lv3_2509c1d70","IsNewSubSection":false,"SubSectionReplacement":""},{"Level":4,"Identity":"T12C6N3515Siii","SubSectionBookmarkName":"ss_T12C6N3515Siii_lv4_1f15fe46e","IsNewSubSection":false,"SubSectionReplacement":""},{"Level":3,"Identity":"T12C6N3515Sb","SubSectionBookmarkName":"ss_T12C6N3515Sb_lv3_4f4c2dad6","IsNewSubSection":false,"SubSectionReplacement":""},{"Level":2,"Identity":"T12C6N3515S1","SubSectionBookmarkName":"ss_T12C6N3515S1_lv2_2ac7a43e6","IsNewSubSection":false,"SubSectionReplacement":""},{"Level":2,"Identity":"T12C6N3515S2","SubSectionBookmarkName":"ss_T12C6N3515S2_lv2_2e0cbf380","IsNewSubSection":false,"SubSectionReplacement":""},{"Level":3,"Identity":"T12C6N3515Sa","SubSectionBookmarkName":"ss_T12C6N3515Sa_lv3_86e810bb7","IsNewSubSection":false,"SubSectionReplacement":""},{"Level":3,"Identity":"T12C6N3515Sb","SubSectionBookmarkName":"ss_T12C6N3515Sb_lv3_9f6bcf03b","IsNewSubSection":false,"SubSectionReplacement":""},{"Level":2,"Identity":"T12C6N3515S3","SubSectionBookmarkName":"ss_T12C6N3515S3_lv2_30721776a","IsNewSubSection":false,"SubSectionReplacement":""}],"TitleRelatedTo":"THE STATE INCOME TAX CREDIT FOR CONSERVATION OR A QUALIFIED CONSERVATION CONTRIBUTION OF REAL PROPERTY","TitleSoAsTo":"PROVIDE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Deleted":false}],"TitleText":"","DisableControls":false,"Deleted":false,"RepealItems":[],"SectionBookmarkName":"bs_num_1_c91bb2789"},{"SectionUUID":"8f03ca95-8faa-4d43-a9c2-8afc498075bd","SectionName":"standard_eff_date_section","SectionNumber":2,"SectionType":"drafting_clause","CodeSections":[],"TitleText":"","DisableControls":false,"Deleted":false,"RepealItems":[],"SectionBookmarkName":"bs_num_2_lastsection"}]</T_BILL_T_SECTIONS>
  <T_BILL_T_SUBJECT>Income tax credit for conservation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28566-6B19-4646-99B8-1F61275E673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6475</Characters>
  <Application>Microsoft Office Word</Application>
  <DocSecurity>0</DocSecurity>
  <Lines>106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2025-01-17T19:56:00Z</cp:lastPrinted>
  <dcterms:created xsi:type="dcterms:W3CDTF">2025-01-21T14:55:00Z</dcterms:created>
  <dcterms:modified xsi:type="dcterms:W3CDTF">2025-01-21T14:55:00Z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