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Henderson-Myers</w:t>
      </w:r>
    </w:p>
    <w:p>
      <w:pPr>
        <w:widowControl w:val="false"/>
        <w:spacing w:after="0"/>
        <w:jc w:val="left"/>
      </w:pPr>
      <w:r>
        <w:rPr>
          <w:rFonts w:ascii="Times New Roman"/>
          <w:sz w:val="22"/>
        </w:rPr>
        <w:t xml:space="preserve">Document Path: LC-0114VR25.docx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Termination of Parental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3e34e5a50ba424b">
        <w:r w:rsidRPr="00770434">
          <w:rPr>
            <w:rStyle w:val="Hyperlink"/>
          </w:rPr>
          <w:t>House Journal</w:t>
        </w:r>
        <w:r w:rsidRPr="00770434">
          <w:rPr>
            <w:rStyle w:val="Hyperlink"/>
          </w:rPr>
          <w:noBreakHyphen/>
          <w:t>page 264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78f33e949434508">
        <w:r w:rsidRPr="00770434">
          <w:rPr>
            <w:rStyle w:val="Hyperlink"/>
          </w:rPr>
          <w:t>House Journal</w:t>
        </w:r>
        <w:r w:rsidRPr="00770434">
          <w:rPr>
            <w:rStyle w:val="Hyperlink"/>
          </w:rPr>
          <w:noBreakHyphen/>
          <w:t>page 264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dbc2765d9046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9902b9bd1b4c9c">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A3970" w14:paraId="40FEFADA" w14:textId="3783905F">
          <w:pPr>
            <w:pStyle w:val="scbilltitle"/>
          </w:pPr>
          <w:r>
            <w:rPr>
              <w:caps w:val="0"/>
            </w:rPr>
            <w:t>TO AMEND THE SOUTH CAROLINA CODE OF LAWS BY AMENDING SECTION 63‑7‑2570, RELATING TO GROUNDS FOR TERMINATION OF PARENTAL RIGHTS TO A CHILD, SO AS TO CLARIFY THE GROUNDS OF WILFUL FAILURE TO VISIT THE CHILD AND WILFUL FAILURE TO SUPPORT THE CHILD IN THE CASE OF AN INCARCERATED PARENT.</w:t>
          </w:r>
        </w:p>
      </w:sdtContent>
    </w:sdt>
    <w:bookmarkStart w:name="at_5d7c02d0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c1b01bc2" w:id="2"/>
      <w:r w:rsidRPr="0094541D">
        <w:t>B</w:t>
      </w:r>
      <w:bookmarkEnd w:id="2"/>
      <w:r w:rsidRPr="0094541D">
        <w:t>e it enacted by the General Assembly of the State of South Carolina:</w:t>
      </w:r>
    </w:p>
    <w:p w:rsidR="00953ECA" w:rsidP="00953ECA" w:rsidRDefault="00953ECA" w14:paraId="00D9D1BB" w14:textId="77777777">
      <w:pPr>
        <w:pStyle w:val="scemptyline"/>
      </w:pPr>
    </w:p>
    <w:p w:rsidR="00953ECA" w:rsidP="00953ECA" w:rsidRDefault="00953ECA" w14:paraId="34FF25D7" w14:textId="77777777">
      <w:pPr>
        <w:pStyle w:val="scdirectionallanguage"/>
      </w:pPr>
      <w:bookmarkStart w:name="bs_num_1_340ffe440" w:id="3"/>
      <w:r>
        <w:t>S</w:t>
      </w:r>
      <w:bookmarkEnd w:id="3"/>
      <w:r>
        <w:t>ECTION 1.</w:t>
      </w:r>
      <w:r>
        <w:tab/>
      </w:r>
      <w:bookmarkStart w:name="dl_e69f14735" w:id="4"/>
      <w:r>
        <w:t>S</w:t>
      </w:r>
      <w:bookmarkEnd w:id="4"/>
      <w:r>
        <w:t>ection 63‑7‑2570 (3) and (4) of the S.C. Code is amended to read:</w:t>
      </w:r>
    </w:p>
    <w:p w:rsidR="00953ECA" w:rsidP="00953ECA" w:rsidRDefault="00953ECA" w14:paraId="3EC16659" w14:textId="77777777">
      <w:pPr>
        <w:pStyle w:val="sccodifiedsection"/>
      </w:pPr>
    </w:p>
    <w:p w:rsidR="00953ECA" w:rsidP="00953ECA" w:rsidRDefault="00953ECA" w14:paraId="60658353" w14:textId="568CFC7C">
      <w:pPr>
        <w:pStyle w:val="sccodifiedsection"/>
      </w:pPr>
      <w:bookmarkStart w:name="cs_T63C7N2570_70345084d" w:id="5"/>
      <w:r>
        <w:tab/>
      </w:r>
      <w:bookmarkStart w:name="ss_T63C7N2570S3_lv1_b6a25c1ae" w:id="6"/>
      <w:bookmarkEnd w:id="5"/>
      <w:r>
        <w:t>(</w:t>
      </w:r>
      <w:bookmarkEnd w:id="6"/>
      <w:r>
        <w:t xml:space="preserve">3) The child has lived outside the home of either parent for a period of six months, and during that time the parent has </w:t>
      </w:r>
      <w:proofErr w:type="spellStart"/>
      <w:r>
        <w:t>wilfully</w:t>
      </w:r>
      <w:proofErr w:type="spellEnd"/>
      <w:r>
        <w:t xml:space="preserve"> failed to visit the child. The court may attach little or no weight to incidental visitations, but it must be shown that the parent was not prevented from visiting by the party having custody or by court order. The distance of the child</w:t>
      </w:r>
      <w:r w:rsidR="00534919">
        <w:t>’</w:t>
      </w:r>
      <w:r>
        <w:t>s placement from the parent</w:t>
      </w:r>
      <w:r w:rsidR="00534919">
        <w:t>’</w:t>
      </w:r>
      <w:r>
        <w:t>s home must be taken into consideration when determining the ability to visit.</w:t>
      </w:r>
      <w:r w:rsidRPr="00534919" w:rsidR="00534919">
        <w:rPr>
          <w:rStyle w:val="scinsert"/>
        </w:rPr>
        <w:t xml:space="preserve"> For an incarcerated parent, the court shall take into consideration the nature of the parent‑child relationship during the time when the parent was not incarcerated, including the extent of parent‑child contact before incarceration, and during the time the parent is incarcerated, when determining whether the parent</w:t>
      </w:r>
      <w:r w:rsidR="00534919">
        <w:rPr>
          <w:rStyle w:val="scinsert"/>
        </w:rPr>
        <w:t>’</w:t>
      </w:r>
      <w:r w:rsidRPr="00534919" w:rsidR="00534919">
        <w:rPr>
          <w:rStyle w:val="scinsert"/>
        </w:rPr>
        <w:t>s failure to visit while incarcerated reflects a settled purpose to forego the parental duty to visit the child. If the incarcerated parent does not have the ability to visit or communicate with the child while incarcerated, the court may not determine that the parent</w:t>
      </w:r>
      <w:r w:rsidR="00534919">
        <w:rPr>
          <w:rStyle w:val="scinsert"/>
        </w:rPr>
        <w:t>’</w:t>
      </w:r>
      <w:r w:rsidRPr="00534919" w:rsidR="00534919">
        <w:rPr>
          <w:rStyle w:val="scinsert"/>
        </w:rPr>
        <w:t>s failure to visit while incarcerated reflects a settled purpose to forego parental duty to visit the child. It is presumed that the incarcerated parent does not have the ability to visit or communicate with the child who is in the custody of the department.</w:t>
      </w:r>
    </w:p>
    <w:p w:rsidR="00953ECA" w:rsidP="00953ECA" w:rsidRDefault="00953ECA" w14:paraId="6B59F6B7" w14:textId="0B19A324">
      <w:pPr>
        <w:pStyle w:val="sccodifiedsection"/>
      </w:pPr>
      <w:r>
        <w:tab/>
      </w:r>
      <w:bookmarkStart w:name="ss_T63C7N2570S4_lv1_86e6c8c48" w:id="7"/>
      <w:r>
        <w:t>(</w:t>
      </w:r>
      <w:bookmarkEnd w:id="7"/>
      <w:r>
        <w:t xml:space="preserve">4) The child has lived outside the home of either parent for a period of six months, and during that time the parent has </w:t>
      </w:r>
      <w:proofErr w:type="spellStart"/>
      <w:r>
        <w:t>wilfully</w:t>
      </w:r>
      <w:proofErr w:type="spellEnd"/>
      <w:r>
        <w:t xml:space="preserve"> failed to support the child. Failure to support means that the parent has failed to make a material contribution to the child</w:t>
      </w:r>
      <w:r w:rsidR="00534919">
        <w:t>’</w:t>
      </w:r>
      <w:r>
        <w:t>s care. A material contribution consists of either financial contributions according to the parent</w:t>
      </w:r>
      <w:r w:rsidR="00534919">
        <w:t>’</w:t>
      </w:r>
      <w:r>
        <w:t>s means or contributions of food, clothing, shelter, or other necessities for the care of the child according to the parent</w:t>
      </w:r>
      <w:r w:rsidR="00534919">
        <w:t>’</w:t>
      </w:r>
      <w:r>
        <w:t xml:space="preserve">s means. The court may consider all relevant circumstances in determining </w:t>
      </w:r>
      <w:proofErr w:type="gramStart"/>
      <w:r>
        <w:t>whether or not</w:t>
      </w:r>
      <w:proofErr w:type="gramEnd"/>
      <w:r>
        <w:t xml:space="preserve"> the parent has </w:t>
      </w:r>
      <w:proofErr w:type="spellStart"/>
      <w:r>
        <w:t>wilfully</w:t>
      </w:r>
      <w:proofErr w:type="spellEnd"/>
      <w:r>
        <w:t xml:space="preserve"> failed to support the child, including requests for support by the custodian and the ability of the parent to provide support.</w:t>
      </w:r>
      <w:r w:rsidRPr="00534919" w:rsidR="00534919">
        <w:rPr>
          <w:rStyle w:val="scinsert"/>
        </w:rPr>
        <w:t xml:space="preserve"> For an incarcerated parent, the court shall take into consideration the nature of the parent‑child relationship </w:t>
      </w:r>
      <w:r w:rsidRPr="00534919" w:rsidR="00534919">
        <w:rPr>
          <w:rStyle w:val="scinsert"/>
        </w:rPr>
        <w:lastRenderedPageBreak/>
        <w:t>during the time when the parent was not incarcerated, including whether the parent made material contributions to the child</w:t>
      </w:r>
      <w:r w:rsidR="00534919">
        <w:rPr>
          <w:rStyle w:val="scinsert"/>
        </w:rPr>
        <w:t>’</w:t>
      </w:r>
      <w:r w:rsidRPr="00534919" w:rsidR="00534919">
        <w:rPr>
          <w:rStyle w:val="scinsert"/>
        </w:rPr>
        <w:t>s care before incarceration, and during the time the parent is incarcerated, when determining whether the parent</w:t>
      </w:r>
      <w:r w:rsidR="00534919">
        <w:rPr>
          <w:rStyle w:val="scinsert"/>
        </w:rPr>
        <w:t>’</w:t>
      </w:r>
      <w:r w:rsidRPr="00534919" w:rsidR="00534919">
        <w:rPr>
          <w:rStyle w:val="scinsert"/>
        </w:rPr>
        <w:t>s failure to support while incarcerated reflects a settled purpose to forego the parental duty to support the child. If the incarcerated parent does not have the ability to make a material contribution to the child</w:t>
      </w:r>
      <w:r w:rsidR="00534919">
        <w:rPr>
          <w:rStyle w:val="scinsert"/>
        </w:rPr>
        <w:t>’</w:t>
      </w:r>
      <w:r w:rsidRPr="00534919" w:rsidR="00534919">
        <w:rPr>
          <w:rStyle w:val="scinsert"/>
        </w:rPr>
        <w:t>s care while incarcerated, the court may not determine that the parent</w:t>
      </w:r>
      <w:r w:rsidR="00534919">
        <w:rPr>
          <w:rStyle w:val="scinsert"/>
        </w:rPr>
        <w:t>’</w:t>
      </w:r>
      <w:r w:rsidRPr="00534919" w:rsidR="00534919">
        <w:rPr>
          <w:rStyle w:val="scinsert"/>
        </w:rPr>
        <w:t>s failure to support while incarcerated reflects a settled purpose to forego the parental duty to support the child. It is presumed that the incarcerated parent may not have the ability to support the child who is in the custody of the department. In determining whether the incarcerated parent has provided support, the court may consider any third‑party support paid on behalf of the incarcerated parent.</w:t>
      </w:r>
    </w:p>
    <w:p w:rsidRPr="00DF3B44" w:rsidR="007E06BB" w:rsidP="00787433" w:rsidRDefault="007E06BB" w14:paraId="3D8F1FED" w14:textId="3F4F96D3">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7034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8723118" w:rsidR="00685035" w:rsidRPr="007B4AF7" w:rsidRDefault="006C655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1D86">
              <w:rPr>
                <w:noProof/>
              </w:rPr>
              <w:t>LC-0114VR25.docx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C95"/>
    <w:rsid w:val="00017FB0"/>
    <w:rsid w:val="00020B5D"/>
    <w:rsid w:val="00026421"/>
    <w:rsid w:val="00030409"/>
    <w:rsid w:val="00037F04"/>
    <w:rsid w:val="000404BF"/>
    <w:rsid w:val="00044B84"/>
    <w:rsid w:val="000479D0"/>
    <w:rsid w:val="0006464F"/>
    <w:rsid w:val="00066B54"/>
    <w:rsid w:val="00070347"/>
    <w:rsid w:val="00072FCD"/>
    <w:rsid w:val="00074A4F"/>
    <w:rsid w:val="00077B65"/>
    <w:rsid w:val="000A3C25"/>
    <w:rsid w:val="000B4C02"/>
    <w:rsid w:val="000B5B4A"/>
    <w:rsid w:val="000B5F96"/>
    <w:rsid w:val="000B7FE1"/>
    <w:rsid w:val="000C3E88"/>
    <w:rsid w:val="000C46B9"/>
    <w:rsid w:val="000C486D"/>
    <w:rsid w:val="000C58E4"/>
    <w:rsid w:val="000C6F9A"/>
    <w:rsid w:val="000D2F44"/>
    <w:rsid w:val="000D33E4"/>
    <w:rsid w:val="000E578A"/>
    <w:rsid w:val="000F2250"/>
    <w:rsid w:val="000F2884"/>
    <w:rsid w:val="0010050E"/>
    <w:rsid w:val="0010329A"/>
    <w:rsid w:val="00105756"/>
    <w:rsid w:val="001114DD"/>
    <w:rsid w:val="001164F9"/>
    <w:rsid w:val="0011719C"/>
    <w:rsid w:val="001203BF"/>
    <w:rsid w:val="001268ED"/>
    <w:rsid w:val="00140049"/>
    <w:rsid w:val="00155A95"/>
    <w:rsid w:val="00171601"/>
    <w:rsid w:val="001730EB"/>
    <w:rsid w:val="00173276"/>
    <w:rsid w:val="00176122"/>
    <w:rsid w:val="0019025B"/>
    <w:rsid w:val="00192AF7"/>
    <w:rsid w:val="00193955"/>
    <w:rsid w:val="00197366"/>
    <w:rsid w:val="001A136C"/>
    <w:rsid w:val="001B6DA2"/>
    <w:rsid w:val="001B7DD5"/>
    <w:rsid w:val="001C25EC"/>
    <w:rsid w:val="001E1358"/>
    <w:rsid w:val="001F2A41"/>
    <w:rsid w:val="001F313F"/>
    <w:rsid w:val="001F331D"/>
    <w:rsid w:val="001F394C"/>
    <w:rsid w:val="002038AA"/>
    <w:rsid w:val="002114C8"/>
    <w:rsid w:val="0021166F"/>
    <w:rsid w:val="002162DF"/>
    <w:rsid w:val="00230038"/>
    <w:rsid w:val="00233975"/>
    <w:rsid w:val="0023543C"/>
    <w:rsid w:val="00236D73"/>
    <w:rsid w:val="00246535"/>
    <w:rsid w:val="00257F60"/>
    <w:rsid w:val="002625EA"/>
    <w:rsid w:val="00262AC5"/>
    <w:rsid w:val="00264AE9"/>
    <w:rsid w:val="00275AE6"/>
    <w:rsid w:val="002836D8"/>
    <w:rsid w:val="00284E50"/>
    <w:rsid w:val="002A4BA0"/>
    <w:rsid w:val="002A7989"/>
    <w:rsid w:val="002B02F3"/>
    <w:rsid w:val="002C3463"/>
    <w:rsid w:val="002D266D"/>
    <w:rsid w:val="002D5B3D"/>
    <w:rsid w:val="002D7447"/>
    <w:rsid w:val="002E315A"/>
    <w:rsid w:val="002E3E3C"/>
    <w:rsid w:val="002E4F8C"/>
    <w:rsid w:val="002E5875"/>
    <w:rsid w:val="002F560C"/>
    <w:rsid w:val="002F5847"/>
    <w:rsid w:val="002F58D9"/>
    <w:rsid w:val="0030425A"/>
    <w:rsid w:val="00325D73"/>
    <w:rsid w:val="003421F1"/>
    <w:rsid w:val="0034279C"/>
    <w:rsid w:val="00354F64"/>
    <w:rsid w:val="003559A1"/>
    <w:rsid w:val="00360227"/>
    <w:rsid w:val="00361563"/>
    <w:rsid w:val="00371D36"/>
    <w:rsid w:val="00373E17"/>
    <w:rsid w:val="0037609B"/>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1787"/>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0E4"/>
    <w:rsid w:val="004D3DCB"/>
    <w:rsid w:val="004D4FA4"/>
    <w:rsid w:val="004D7A4D"/>
    <w:rsid w:val="004E1946"/>
    <w:rsid w:val="004E66E9"/>
    <w:rsid w:val="004E7DDE"/>
    <w:rsid w:val="004F0090"/>
    <w:rsid w:val="004F172C"/>
    <w:rsid w:val="005002ED"/>
    <w:rsid w:val="00500DBC"/>
    <w:rsid w:val="005102BE"/>
    <w:rsid w:val="0051336A"/>
    <w:rsid w:val="00523F7F"/>
    <w:rsid w:val="00524D54"/>
    <w:rsid w:val="00534919"/>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6622"/>
    <w:rsid w:val="005F76B0"/>
    <w:rsid w:val="00604429"/>
    <w:rsid w:val="006067B0"/>
    <w:rsid w:val="00606A8B"/>
    <w:rsid w:val="00611EBA"/>
    <w:rsid w:val="00613630"/>
    <w:rsid w:val="006213A8"/>
    <w:rsid w:val="006226D4"/>
    <w:rsid w:val="00623A8D"/>
    <w:rsid w:val="00623BEA"/>
    <w:rsid w:val="006347E9"/>
    <w:rsid w:val="00640C87"/>
    <w:rsid w:val="006454BB"/>
    <w:rsid w:val="00651CDC"/>
    <w:rsid w:val="00657CF4"/>
    <w:rsid w:val="00661463"/>
    <w:rsid w:val="00663B8D"/>
    <w:rsid w:val="00663E00"/>
    <w:rsid w:val="00664F48"/>
    <w:rsid w:val="00664FAD"/>
    <w:rsid w:val="0067230A"/>
    <w:rsid w:val="0067345B"/>
    <w:rsid w:val="00680324"/>
    <w:rsid w:val="00683986"/>
    <w:rsid w:val="00685035"/>
    <w:rsid w:val="00685770"/>
    <w:rsid w:val="00690DBA"/>
    <w:rsid w:val="006964F9"/>
    <w:rsid w:val="006A395F"/>
    <w:rsid w:val="006A45BF"/>
    <w:rsid w:val="006A65E2"/>
    <w:rsid w:val="006B37BD"/>
    <w:rsid w:val="006C0895"/>
    <w:rsid w:val="006C092D"/>
    <w:rsid w:val="006C099D"/>
    <w:rsid w:val="006C18F0"/>
    <w:rsid w:val="006C6556"/>
    <w:rsid w:val="006C7E01"/>
    <w:rsid w:val="006D64A5"/>
    <w:rsid w:val="006E0935"/>
    <w:rsid w:val="006E353F"/>
    <w:rsid w:val="006E35AB"/>
    <w:rsid w:val="006F02FF"/>
    <w:rsid w:val="006F642D"/>
    <w:rsid w:val="0070330B"/>
    <w:rsid w:val="00711520"/>
    <w:rsid w:val="00711AA9"/>
    <w:rsid w:val="00722155"/>
    <w:rsid w:val="00725042"/>
    <w:rsid w:val="00737F19"/>
    <w:rsid w:val="0077304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27A6"/>
    <w:rsid w:val="00834272"/>
    <w:rsid w:val="008461C6"/>
    <w:rsid w:val="008625C1"/>
    <w:rsid w:val="0087671D"/>
    <w:rsid w:val="008806F9"/>
    <w:rsid w:val="00887957"/>
    <w:rsid w:val="008A3970"/>
    <w:rsid w:val="008A41A5"/>
    <w:rsid w:val="008A57E3"/>
    <w:rsid w:val="008B5BF4"/>
    <w:rsid w:val="008C0CEE"/>
    <w:rsid w:val="008C1B18"/>
    <w:rsid w:val="008D46EC"/>
    <w:rsid w:val="008E0E25"/>
    <w:rsid w:val="008E2E63"/>
    <w:rsid w:val="008E4D90"/>
    <w:rsid w:val="008E61A1"/>
    <w:rsid w:val="008F08F8"/>
    <w:rsid w:val="009031EF"/>
    <w:rsid w:val="00917EA3"/>
    <w:rsid w:val="00917EE0"/>
    <w:rsid w:val="00921C89"/>
    <w:rsid w:val="00926966"/>
    <w:rsid w:val="00926D03"/>
    <w:rsid w:val="00934036"/>
    <w:rsid w:val="00934889"/>
    <w:rsid w:val="0094541D"/>
    <w:rsid w:val="009473EA"/>
    <w:rsid w:val="00953ECA"/>
    <w:rsid w:val="00954E7E"/>
    <w:rsid w:val="009554D9"/>
    <w:rsid w:val="009572F9"/>
    <w:rsid w:val="00960D0F"/>
    <w:rsid w:val="00961C37"/>
    <w:rsid w:val="0098366F"/>
    <w:rsid w:val="00983A03"/>
    <w:rsid w:val="00986063"/>
    <w:rsid w:val="00991F67"/>
    <w:rsid w:val="00992876"/>
    <w:rsid w:val="009A0DCE"/>
    <w:rsid w:val="009A22CD"/>
    <w:rsid w:val="009A3E4B"/>
    <w:rsid w:val="009B35FD"/>
    <w:rsid w:val="009B6815"/>
    <w:rsid w:val="009C4083"/>
    <w:rsid w:val="009D2967"/>
    <w:rsid w:val="009D3C2B"/>
    <w:rsid w:val="009E4191"/>
    <w:rsid w:val="009F2AB1"/>
    <w:rsid w:val="009F4FAF"/>
    <w:rsid w:val="009F68F1"/>
    <w:rsid w:val="00A04529"/>
    <w:rsid w:val="00A0584B"/>
    <w:rsid w:val="00A124B4"/>
    <w:rsid w:val="00A17135"/>
    <w:rsid w:val="00A21A6F"/>
    <w:rsid w:val="00A21DB9"/>
    <w:rsid w:val="00A24E56"/>
    <w:rsid w:val="00A2592A"/>
    <w:rsid w:val="00A26A62"/>
    <w:rsid w:val="00A35A9B"/>
    <w:rsid w:val="00A36362"/>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07E5A"/>
    <w:rsid w:val="00B1161F"/>
    <w:rsid w:val="00B11661"/>
    <w:rsid w:val="00B31C5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6C08"/>
    <w:rsid w:val="00BC408A"/>
    <w:rsid w:val="00BC5023"/>
    <w:rsid w:val="00BC556C"/>
    <w:rsid w:val="00BD42DA"/>
    <w:rsid w:val="00BD4684"/>
    <w:rsid w:val="00BD6DE9"/>
    <w:rsid w:val="00BE0326"/>
    <w:rsid w:val="00BE08A7"/>
    <w:rsid w:val="00BE4391"/>
    <w:rsid w:val="00BF0237"/>
    <w:rsid w:val="00BF0EA9"/>
    <w:rsid w:val="00BF3E48"/>
    <w:rsid w:val="00C1463D"/>
    <w:rsid w:val="00C15F1B"/>
    <w:rsid w:val="00C16288"/>
    <w:rsid w:val="00C17D1D"/>
    <w:rsid w:val="00C45835"/>
    <w:rsid w:val="00C45923"/>
    <w:rsid w:val="00C543E7"/>
    <w:rsid w:val="00C70225"/>
    <w:rsid w:val="00C71B78"/>
    <w:rsid w:val="00C72198"/>
    <w:rsid w:val="00C73C7D"/>
    <w:rsid w:val="00C75005"/>
    <w:rsid w:val="00C80F2C"/>
    <w:rsid w:val="00C970DF"/>
    <w:rsid w:val="00CA7E71"/>
    <w:rsid w:val="00CB2673"/>
    <w:rsid w:val="00CB701D"/>
    <w:rsid w:val="00CC3F0E"/>
    <w:rsid w:val="00CD08C9"/>
    <w:rsid w:val="00CD1FE8"/>
    <w:rsid w:val="00CD38CD"/>
    <w:rsid w:val="00CD3E0C"/>
    <w:rsid w:val="00CD5565"/>
    <w:rsid w:val="00CD616C"/>
    <w:rsid w:val="00CF661F"/>
    <w:rsid w:val="00CF68D6"/>
    <w:rsid w:val="00CF7B4A"/>
    <w:rsid w:val="00D009F8"/>
    <w:rsid w:val="00D078DA"/>
    <w:rsid w:val="00D14995"/>
    <w:rsid w:val="00D204F2"/>
    <w:rsid w:val="00D2455C"/>
    <w:rsid w:val="00D25023"/>
    <w:rsid w:val="00D27F8C"/>
    <w:rsid w:val="00D33843"/>
    <w:rsid w:val="00D512F7"/>
    <w:rsid w:val="00D54A6F"/>
    <w:rsid w:val="00D57D57"/>
    <w:rsid w:val="00D62E42"/>
    <w:rsid w:val="00D772FB"/>
    <w:rsid w:val="00D81DC2"/>
    <w:rsid w:val="00DA1AA0"/>
    <w:rsid w:val="00DA512B"/>
    <w:rsid w:val="00DB6738"/>
    <w:rsid w:val="00DC44A8"/>
    <w:rsid w:val="00DD1E24"/>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D86"/>
    <w:rsid w:val="00E43791"/>
    <w:rsid w:val="00E43F26"/>
    <w:rsid w:val="00E52A36"/>
    <w:rsid w:val="00E55321"/>
    <w:rsid w:val="00E6378B"/>
    <w:rsid w:val="00E63EC3"/>
    <w:rsid w:val="00E653DA"/>
    <w:rsid w:val="00E65958"/>
    <w:rsid w:val="00E75730"/>
    <w:rsid w:val="00E84FE5"/>
    <w:rsid w:val="00E879A5"/>
    <w:rsid w:val="00E879FC"/>
    <w:rsid w:val="00E92C47"/>
    <w:rsid w:val="00EA2574"/>
    <w:rsid w:val="00EA2F1F"/>
    <w:rsid w:val="00EA3F2E"/>
    <w:rsid w:val="00EA57EC"/>
    <w:rsid w:val="00EA6208"/>
    <w:rsid w:val="00EB120E"/>
    <w:rsid w:val="00EB34C8"/>
    <w:rsid w:val="00EB46E2"/>
    <w:rsid w:val="00EC0045"/>
    <w:rsid w:val="00EC75E7"/>
    <w:rsid w:val="00ED452E"/>
    <w:rsid w:val="00EE378D"/>
    <w:rsid w:val="00EE3CDA"/>
    <w:rsid w:val="00EF37A8"/>
    <w:rsid w:val="00EF531F"/>
    <w:rsid w:val="00F00BD5"/>
    <w:rsid w:val="00F05FE8"/>
    <w:rsid w:val="00F06D86"/>
    <w:rsid w:val="00F13D87"/>
    <w:rsid w:val="00F149E5"/>
    <w:rsid w:val="00F15E33"/>
    <w:rsid w:val="00F17DA2"/>
    <w:rsid w:val="00F22EC0"/>
    <w:rsid w:val="00F25C47"/>
    <w:rsid w:val="00F27D7B"/>
    <w:rsid w:val="00F301A0"/>
    <w:rsid w:val="00F31D34"/>
    <w:rsid w:val="00F342A1"/>
    <w:rsid w:val="00F36FBA"/>
    <w:rsid w:val="00F44D36"/>
    <w:rsid w:val="00F44D93"/>
    <w:rsid w:val="00F46262"/>
    <w:rsid w:val="00F4795D"/>
    <w:rsid w:val="00F50A61"/>
    <w:rsid w:val="00F525CD"/>
    <w:rsid w:val="00F5286C"/>
    <w:rsid w:val="00F52E12"/>
    <w:rsid w:val="00F638CA"/>
    <w:rsid w:val="00F657C5"/>
    <w:rsid w:val="00F900B4"/>
    <w:rsid w:val="00FA0F2E"/>
    <w:rsid w:val="00FA4DB1"/>
    <w:rsid w:val="00FB3F2A"/>
    <w:rsid w:val="00FC3593"/>
    <w:rsid w:val="00FC7CDF"/>
    <w:rsid w:val="00FD117D"/>
    <w:rsid w:val="00FD72E3"/>
    <w:rsid w:val="00FE06FC"/>
    <w:rsid w:val="00FE210A"/>
    <w:rsid w:val="00FF0315"/>
    <w:rsid w:val="00FF2121"/>
    <w:rsid w:val="00FF22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9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E4D90"/>
    <w:rPr>
      <w:rFonts w:ascii="Times New Roman" w:hAnsi="Times New Roman"/>
      <w:b w:val="0"/>
      <w:i w:val="0"/>
      <w:sz w:val="22"/>
    </w:rPr>
  </w:style>
  <w:style w:type="paragraph" w:styleId="NoSpacing">
    <w:name w:val="No Spacing"/>
    <w:uiPriority w:val="1"/>
    <w:qFormat/>
    <w:rsid w:val="008E4D90"/>
    <w:pPr>
      <w:spacing w:after="0" w:line="240" w:lineRule="auto"/>
    </w:pPr>
  </w:style>
  <w:style w:type="paragraph" w:customStyle="1" w:styleId="scemptylineheader">
    <w:name w:val="sc_emptyline_header"/>
    <w:qFormat/>
    <w:rsid w:val="008E4D9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E4D9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E4D9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E4D9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E4D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E4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E4D90"/>
    <w:rPr>
      <w:color w:val="808080"/>
    </w:rPr>
  </w:style>
  <w:style w:type="paragraph" w:customStyle="1" w:styleId="scdirectionallanguage">
    <w:name w:val="sc_directional_language"/>
    <w:qFormat/>
    <w:rsid w:val="008E4D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E4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E4D9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E4D9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E4D9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E4D9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4D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E4D9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E4D9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E4D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E4D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E4D9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E4D9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E4D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E4D9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E4D9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E4D9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E4D90"/>
    <w:rPr>
      <w:rFonts w:ascii="Times New Roman" w:hAnsi="Times New Roman"/>
      <w:color w:val="auto"/>
      <w:sz w:val="22"/>
    </w:rPr>
  </w:style>
  <w:style w:type="paragraph" w:customStyle="1" w:styleId="scclippagebillheader">
    <w:name w:val="sc_clip_page_bill_header"/>
    <w:qFormat/>
    <w:rsid w:val="008E4D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E4D9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E4D9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E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D90"/>
    <w:rPr>
      <w:lang w:val="en-US"/>
    </w:rPr>
  </w:style>
  <w:style w:type="paragraph" w:styleId="Footer">
    <w:name w:val="footer"/>
    <w:basedOn w:val="Normal"/>
    <w:link w:val="FooterChar"/>
    <w:uiPriority w:val="99"/>
    <w:unhideWhenUsed/>
    <w:rsid w:val="008E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D90"/>
    <w:rPr>
      <w:lang w:val="en-US"/>
    </w:rPr>
  </w:style>
  <w:style w:type="paragraph" w:styleId="ListParagraph">
    <w:name w:val="List Paragraph"/>
    <w:basedOn w:val="Normal"/>
    <w:uiPriority w:val="34"/>
    <w:qFormat/>
    <w:rsid w:val="008E4D90"/>
    <w:pPr>
      <w:ind w:left="720"/>
      <w:contextualSpacing/>
    </w:pPr>
  </w:style>
  <w:style w:type="paragraph" w:customStyle="1" w:styleId="scbillfooter">
    <w:name w:val="sc_bill_footer"/>
    <w:qFormat/>
    <w:rsid w:val="008E4D9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E4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4D9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E4D9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E4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E4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E4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E4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E4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E4D9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E4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E4D9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E4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E4D90"/>
    <w:pPr>
      <w:widowControl w:val="0"/>
      <w:suppressAutoHyphens/>
      <w:spacing w:after="0" w:line="360" w:lineRule="auto"/>
    </w:pPr>
    <w:rPr>
      <w:rFonts w:ascii="Times New Roman" w:hAnsi="Times New Roman"/>
      <w:lang w:val="en-US"/>
    </w:rPr>
  </w:style>
  <w:style w:type="paragraph" w:customStyle="1" w:styleId="sctableln">
    <w:name w:val="sc_table_ln"/>
    <w:qFormat/>
    <w:rsid w:val="008E4D9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E4D9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E4D90"/>
    <w:rPr>
      <w:strike/>
      <w:dstrike w:val="0"/>
    </w:rPr>
  </w:style>
  <w:style w:type="character" w:customStyle="1" w:styleId="scinsert">
    <w:name w:val="sc_insert"/>
    <w:uiPriority w:val="1"/>
    <w:qFormat/>
    <w:rsid w:val="008E4D90"/>
    <w:rPr>
      <w:caps w:val="0"/>
      <w:smallCaps w:val="0"/>
      <w:strike w:val="0"/>
      <w:dstrike w:val="0"/>
      <w:vanish w:val="0"/>
      <w:u w:val="single"/>
      <w:vertAlign w:val="baseline"/>
    </w:rPr>
  </w:style>
  <w:style w:type="character" w:customStyle="1" w:styleId="scinsertred">
    <w:name w:val="sc_insert_red"/>
    <w:uiPriority w:val="1"/>
    <w:qFormat/>
    <w:rsid w:val="008E4D90"/>
    <w:rPr>
      <w:caps w:val="0"/>
      <w:smallCaps w:val="0"/>
      <w:strike w:val="0"/>
      <w:dstrike w:val="0"/>
      <w:vanish w:val="0"/>
      <w:color w:val="FF0000"/>
      <w:u w:val="single"/>
      <w:vertAlign w:val="baseline"/>
    </w:rPr>
  </w:style>
  <w:style w:type="character" w:customStyle="1" w:styleId="scinsertblue">
    <w:name w:val="sc_insert_blue"/>
    <w:uiPriority w:val="1"/>
    <w:qFormat/>
    <w:rsid w:val="008E4D90"/>
    <w:rPr>
      <w:caps w:val="0"/>
      <w:smallCaps w:val="0"/>
      <w:strike w:val="0"/>
      <w:dstrike w:val="0"/>
      <w:vanish w:val="0"/>
      <w:color w:val="0070C0"/>
      <w:u w:val="single"/>
      <w:vertAlign w:val="baseline"/>
    </w:rPr>
  </w:style>
  <w:style w:type="character" w:customStyle="1" w:styleId="scstrikered">
    <w:name w:val="sc_strike_red"/>
    <w:uiPriority w:val="1"/>
    <w:qFormat/>
    <w:rsid w:val="008E4D90"/>
    <w:rPr>
      <w:strike/>
      <w:dstrike w:val="0"/>
      <w:color w:val="FF0000"/>
    </w:rPr>
  </w:style>
  <w:style w:type="character" w:customStyle="1" w:styleId="scstrikeblue">
    <w:name w:val="sc_strike_blue"/>
    <w:uiPriority w:val="1"/>
    <w:qFormat/>
    <w:rsid w:val="008E4D90"/>
    <w:rPr>
      <w:strike/>
      <w:dstrike w:val="0"/>
      <w:color w:val="0070C0"/>
    </w:rPr>
  </w:style>
  <w:style w:type="character" w:customStyle="1" w:styleId="scinsertbluenounderline">
    <w:name w:val="sc_insert_blue_no_underline"/>
    <w:uiPriority w:val="1"/>
    <w:qFormat/>
    <w:rsid w:val="008E4D9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E4D9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E4D90"/>
    <w:rPr>
      <w:strike/>
      <w:dstrike w:val="0"/>
      <w:color w:val="0070C0"/>
      <w:lang w:val="en-US"/>
    </w:rPr>
  </w:style>
  <w:style w:type="character" w:customStyle="1" w:styleId="scstrikerednoncodified">
    <w:name w:val="sc_strike_red_non_codified"/>
    <w:uiPriority w:val="1"/>
    <w:qFormat/>
    <w:rsid w:val="008E4D90"/>
    <w:rPr>
      <w:strike/>
      <w:dstrike w:val="0"/>
      <w:color w:val="FF0000"/>
    </w:rPr>
  </w:style>
  <w:style w:type="paragraph" w:customStyle="1" w:styleId="scbillsiglines">
    <w:name w:val="sc_bill_sig_lines"/>
    <w:qFormat/>
    <w:rsid w:val="008E4D9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E4D90"/>
    <w:rPr>
      <w:bdr w:val="none" w:sz="0" w:space="0" w:color="auto"/>
      <w:shd w:val="clear" w:color="auto" w:fill="FEC6C6"/>
    </w:rPr>
  </w:style>
  <w:style w:type="character" w:customStyle="1" w:styleId="screstoreblue">
    <w:name w:val="sc_restore_blue"/>
    <w:uiPriority w:val="1"/>
    <w:qFormat/>
    <w:rsid w:val="008E4D90"/>
    <w:rPr>
      <w:color w:val="4472C4" w:themeColor="accent1"/>
      <w:bdr w:val="none" w:sz="0" w:space="0" w:color="auto"/>
      <w:shd w:val="clear" w:color="auto" w:fill="auto"/>
    </w:rPr>
  </w:style>
  <w:style w:type="character" w:customStyle="1" w:styleId="screstorered">
    <w:name w:val="sc_restore_red"/>
    <w:uiPriority w:val="1"/>
    <w:qFormat/>
    <w:rsid w:val="008E4D90"/>
    <w:rPr>
      <w:color w:val="FF0000"/>
      <w:bdr w:val="none" w:sz="0" w:space="0" w:color="auto"/>
      <w:shd w:val="clear" w:color="auto" w:fill="auto"/>
    </w:rPr>
  </w:style>
  <w:style w:type="character" w:customStyle="1" w:styleId="scstrikenewblue">
    <w:name w:val="sc_strike_new_blue"/>
    <w:uiPriority w:val="1"/>
    <w:qFormat/>
    <w:rsid w:val="008E4D90"/>
    <w:rPr>
      <w:strike w:val="0"/>
      <w:dstrike/>
      <w:color w:val="0070C0"/>
      <w:u w:val="none"/>
    </w:rPr>
  </w:style>
  <w:style w:type="character" w:customStyle="1" w:styleId="scstrikenewred">
    <w:name w:val="sc_strike_new_red"/>
    <w:uiPriority w:val="1"/>
    <w:qFormat/>
    <w:rsid w:val="008E4D90"/>
    <w:rPr>
      <w:strike w:val="0"/>
      <w:dstrike/>
      <w:color w:val="FF0000"/>
      <w:u w:val="none"/>
    </w:rPr>
  </w:style>
  <w:style w:type="character" w:customStyle="1" w:styleId="scamendsenate">
    <w:name w:val="sc_amend_senate"/>
    <w:uiPriority w:val="1"/>
    <w:qFormat/>
    <w:rsid w:val="008E4D90"/>
    <w:rPr>
      <w:bdr w:val="none" w:sz="0" w:space="0" w:color="auto"/>
      <w:shd w:val="clear" w:color="auto" w:fill="FFF2CC" w:themeFill="accent4" w:themeFillTint="33"/>
    </w:rPr>
  </w:style>
  <w:style w:type="character" w:customStyle="1" w:styleId="scamendhouse">
    <w:name w:val="sc_amend_house"/>
    <w:uiPriority w:val="1"/>
    <w:qFormat/>
    <w:rsid w:val="008E4D90"/>
    <w:rPr>
      <w:bdr w:val="none" w:sz="0" w:space="0" w:color="auto"/>
      <w:shd w:val="clear" w:color="auto" w:fill="E2EFD9" w:themeFill="accent6" w:themeFillTint="33"/>
    </w:rPr>
  </w:style>
  <w:style w:type="paragraph" w:styleId="Revision">
    <w:name w:val="Revision"/>
    <w:hidden/>
    <w:uiPriority w:val="99"/>
    <w:semiHidden/>
    <w:rsid w:val="0053491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12&amp;session=126&amp;summary=B" TargetMode="External" Id="R2edbc2765d9046ea" /><Relationship Type="http://schemas.openxmlformats.org/officeDocument/2006/relationships/hyperlink" Target="https://www.scstatehouse.gov/sess126_2025-2026/prever/3612_20241212.docx" TargetMode="External" Id="R909902b9bd1b4c9c" /><Relationship Type="http://schemas.openxmlformats.org/officeDocument/2006/relationships/hyperlink" Target="h:\hj\20250114.docx" TargetMode="External" Id="R53e34e5a50ba424b" /><Relationship Type="http://schemas.openxmlformats.org/officeDocument/2006/relationships/hyperlink" Target="h:\hj\20250114.docx" TargetMode="External" Id="Rb78f33e9494345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226D4"/>
    <w:rsid w:val="0067230A"/>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301A0"/>
    <w:rsid w:val="00F82BD9"/>
    <w:rsid w:val="00FF2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87cf465e-6010-4920-8c5e-da82bf695648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98cb70ad-cdef-4da3-be94-3be9b2698d89</T_BILL_REQUEST_REQUEST>
  <T_BILL_R_ORIGINALDRAFT>fb510748-bb25-4311-8f7a-e17261e11417</T_BILL_R_ORIGINALDRAFT>
  <T_BILL_SPONSOR_SPONSOR>12678573-7270-4f04-9256-f8d88178e5b4</T_BILL_SPONSOR_SPONSOR>
  <T_BILL_T_BILLNAME>[3612]</T_BILL_T_BILLNAME>
  <T_BILL_T_BILLNUMBER>3612</T_BILL_T_BILLNUMBER>
  <T_BILL_T_BILLTITLE>TO AMEND THE SOUTH CAROLINA CODE OF LAWS BY AMENDING SECTION 63‑7‑2570, RELATING TO GROUNDS FOR TERMINATION OF PARENTAL RIGHTS TO A CHILD, SO AS TO CLARIFY THE GROUNDS OF WILFUL FAILURE TO VISIT THE CHILD AND WILFUL FAILURE TO SUPPORT THE CHILD IN THE CASE OF AN INCARCERATED PARENT.</T_BILL_T_BILLTITLE>
  <T_BILL_T_CHAMBER>house</T_BILL_T_CHAMBER>
  <T_BILL_T_FILENAME> </T_BILL_T_FILENAME>
  <T_BILL_T_LEGTYPE>bill_statewide</T_BILL_T_LEGTYPE>
  <T_BILL_T_RATNUMBERSTRING>HNone</T_BILL_T_RATNUMBERSTRING>
  <T_BILL_T_SECTIONS>[{"SectionUUID":"5d37836d-8233-455e-ab33-5e8f278a7881","SectionName":"code_section","SectionNumber":1,"SectionType":"code_section","CodeSections":[{"CodeSectionBookmarkName":"cs_T63C7N2570_70345084d","IsConstitutionSection":false,"Identity":"63-7-2570","IsNew":false,"SubSections":[{"Level":1,"Identity":"T63C7N2570S3","SubSectionBookmarkName":"ss_T63C7N2570S3_lv1_b6a25c1ae","IsNewSubSection":false,"SubSectionReplacement":""},{"Level":1,"Identity":"T63C7N2570S4","SubSectionBookmarkName":"ss_T63C7N2570S4_lv1_86e6c8c48","IsNewSubSection":false,"SubSectionReplacement":""}],"TitleRelatedTo":"Grounds for termination of parental rights to a child","TitleSoAsTo":"CLARIFY THE GROUNDS OF WILFUL FAILURE TO VISIT THE CHILD AND WILFUL FAILURE TO SUPPORT THE CHILD IN THE CASE OF AN INCARCERATED PARENT","Deleted":false}],"TitleText":"","DisableControls":true,"Deleted":false,"RepealItems":[],"SectionBookmarkName":"bs_num_1_340ffe440"},{"SectionUUID":"8f03ca95-8faa-4d43-a9c2-8afc498075bd","SectionName":"standard_eff_date_section","SectionNumber":2,"SectionType":"drafting_clause","CodeSections":[],"TitleText":"","DisableControls":false,"Deleted":false,"RepealItems":[],"SectionBookmarkName":"bs_num_2_lastsection"}]</T_BILL_T_SECTIONS>
  <T_BILL_T_SUBJECT>Termination of Parental Rights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3019</Characters>
  <Application>Microsoft Office Word</Application>
  <DocSecurity>0</DocSecurity>
  <Lines>53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2024-12-06T14:21:00Z</cp:lastPrinted>
  <dcterms:created xsi:type="dcterms:W3CDTF">2024-12-09T19:28:00Z</dcterms:created>
  <dcterms:modified xsi:type="dcterms:W3CDTF">2024-12-09T19:28:00Z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