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Herbkersman, Bradley, M.M. Smith, Guffey, Cobb-Hunter, Oremus, McDaniel, Sessions, W. Newton, Guest, Rutherford, Crawford and Lowe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5011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LC-0120DG25.docx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Tenant Protection Act of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77db5e990974e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9a2ea3d54e5e4c9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f63cddb124c4c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a9ffb6d7c84520">
        <w:r>
          <w:rPr>
            <w:rStyle w:val="Hyperlink"/>
            <w:u w:val="single"/>
          </w:rPr>
          <w:t>02/11/2025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32DFA" w14:paraId="40FEFADA" w14:textId="2C7D30B2">
          <w:pPr>
            <w:pStyle w:val="scbilltitle"/>
          </w:pPr>
          <w:r>
            <w:t>TO AMEND THE SOUTH CAROLINA CODE OF LAWS SO AS TO ENACT THE “TENANT PROTECTION ACT OF 2025” BY ADDING SECTION 12‑37‑3137 SO AS TO PROVIDE A PROPERTY TAX EXEMPTION LIMITING THE INCREASE IN PROPERTY TAX VALUE FOLLOWING AN ASSESSABLE TRANSFER OF INTEREST WHEN THE PROPERTY WILL BE SUBJECT TO A CERTAIN SIX PERCENT ASSESSMENT RATIO.</w:t>
          </w:r>
        </w:p>
      </w:sdtContent>
    </w:sdt>
    <w:bookmarkStart w:name="at_3ab87971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6d9bb8b7" w:id="1"/>
      <w:r w:rsidRPr="0094541D">
        <w:t>B</w:t>
      </w:r>
      <w:bookmarkEnd w:id="1"/>
      <w:r w:rsidRPr="0094541D">
        <w:t>e it enacted by the General Assembly of the State of South Carolina:</w:t>
      </w:r>
    </w:p>
    <w:p w:rsidR="00A67894" w:rsidP="00A67894" w:rsidRDefault="00A67894" w14:paraId="31C81FD3" w14:textId="77777777">
      <w:pPr>
        <w:pStyle w:val="scemptyline"/>
      </w:pPr>
    </w:p>
    <w:p w:rsidR="00A67894" w:rsidP="0084760D" w:rsidRDefault="00A67894" w14:paraId="06EA472D" w14:textId="7BECBEB9">
      <w:pPr>
        <w:pStyle w:val="scnoncodifiedsection"/>
      </w:pPr>
      <w:bookmarkStart w:name="bs_num_1_5e4ad3575" w:id="2"/>
      <w:bookmarkStart w:name="citing_act_5d9064e68" w:id="3"/>
      <w:r>
        <w:t>S</w:t>
      </w:r>
      <w:bookmarkEnd w:id="2"/>
      <w:r>
        <w:t>ECTION 1.</w:t>
      </w:r>
      <w:r>
        <w:tab/>
      </w:r>
      <w:bookmarkEnd w:id="3"/>
      <w:r w:rsidR="0084760D">
        <w:rPr>
          <w:shd w:val="clear" w:color="auto" w:fill="FFFFFF"/>
        </w:rPr>
        <w:t>This act may be cited as the “</w:t>
      </w:r>
      <w:r w:rsidR="00E81CFD">
        <w:rPr>
          <w:shd w:val="clear" w:color="auto" w:fill="FFFFFF"/>
        </w:rPr>
        <w:t>Tenant Protection Act of 2025</w:t>
      </w:r>
      <w:r w:rsidR="00F95EE6">
        <w:rPr>
          <w:shd w:val="clear" w:color="auto" w:fill="FFFFFF"/>
        </w:rPr>
        <w:t>.</w:t>
      </w:r>
      <w:r w:rsidR="0084760D">
        <w:rPr>
          <w:shd w:val="clear" w:color="auto" w:fill="FFFFFF"/>
        </w:rPr>
        <w:t>”</w:t>
      </w:r>
    </w:p>
    <w:p w:rsidR="00BF3DB5" w:rsidP="00BF3DB5" w:rsidRDefault="00BF3DB5" w14:paraId="4224E5A9" w14:textId="77777777">
      <w:pPr>
        <w:pStyle w:val="scemptyline"/>
      </w:pPr>
    </w:p>
    <w:p w:rsidR="00A179E9" w:rsidP="00A179E9" w:rsidRDefault="00BF3DB5" w14:paraId="445FE9F9" w14:textId="77777777">
      <w:pPr>
        <w:pStyle w:val="scdirectionallanguage"/>
      </w:pPr>
      <w:bookmarkStart w:name="bs_num_2_06e3a2de0" w:id="4"/>
      <w:r>
        <w:t>S</w:t>
      </w:r>
      <w:bookmarkEnd w:id="4"/>
      <w:r>
        <w:t>ECTION 2.</w:t>
      </w:r>
      <w:r>
        <w:tab/>
      </w:r>
      <w:bookmarkStart w:name="dl_913aca512" w:id="5"/>
      <w:r w:rsidR="00A179E9">
        <w:t>A</w:t>
      </w:r>
      <w:bookmarkEnd w:id="5"/>
      <w:r w:rsidR="00A179E9">
        <w:t>rticle 25, Chapter 37, Title 12 of the S.C. Code is amended by adding:</w:t>
      </w:r>
    </w:p>
    <w:p w:rsidR="00A179E9" w:rsidP="00A179E9" w:rsidRDefault="00A179E9" w14:paraId="4422854F" w14:textId="77777777">
      <w:pPr>
        <w:pStyle w:val="scnewcodesection"/>
      </w:pPr>
    </w:p>
    <w:p w:rsidR="00BF3DB5" w:rsidP="00A179E9" w:rsidRDefault="00A179E9" w14:paraId="27B10C3B" w14:textId="1F8D7FBE">
      <w:pPr>
        <w:pStyle w:val="scnewcodesection"/>
      </w:pPr>
      <w:r>
        <w:tab/>
      </w:r>
      <w:bookmarkStart w:name="ns_T12C37N3137_e902662e9" w:id="6"/>
      <w:r>
        <w:t>S</w:t>
      </w:r>
      <w:bookmarkEnd w:id="6"/>
      <w:r>
        <w:t>ection 12‑37‑3137.</w:t>
      </w:r>
      <w:r>
        <w:tab/>
      </w:r>
      <w:bookmarkStart w:name="ss_T12C37N3137SA_lv1_e5929e8c5" w:id="7"/>
      <w:r w:rsidR="000B1FF3">
        <w:t>(</w:t>
      </w:r>
      <w:bookmarkEnd w:id="7"/>
      <w:r w:rsidR="000B1FF3">
        <w:t>A)</w:t>
      </w:r>
      <w:bookmarkStart w:name="ss_T12C37N3137S1_lv2_1c6b736c" w:id="8"/>
      <w:bookmarkStart w:name="open_doc_here" w:id="9"/>
      <w:r w:rsidR="000B1FF3">
        <w:t>(</w:t>
      </w:r>
      <w:bookmarkEnd w:id="8"/>
      <w:bookmarkEnd w:id="9"/>
      <w:r w:rsidR="000B1FF3">
        <w:t xml:space="preserve">1) </w:t>
      </w:r>
      <w:r w:rsidRPr="000B1FF3" w:rsidR="000B1FF3">
        <w:t xml:space="preserve">When a parcel of real property and any improvements thereon </w:t>
      </w:r>
      <w:r w:rsidR="000B1FF3">
        <w:t>w</w:t>
      </w:r>
      <w:r w:rsidRPr="000B1FF3" w:rsidR="000B1FF3">
        <w:t>hich is</w:t>
      </w:r>
      <w:r w:rsidR="000B1FF3">
        <w:t xml:space="preserve"> subject to the assessment ratio provided in Section 12‑43‑220(c) or (e) and which is</w:t>
      </w:r>
      <w:r w:rsidRPr="000B1FF3" w:rsidR="000B1FF3">
        <w:t xml:space="preserve"> currently subject to property tax undergoes an assessable transfer of interest after 20</w:t>
      </w:r>
      <w:r w:rsidR="000B1FF3">
        <w:t>24</w:t>
      </w:r>
      <w:r w:rsidRPr="000B1FF3" w:rsidR="000B1FF3">
        <w:t>, there is allowed an exemption from property tax an amount sufficient so that the exemption value does not exceed one hundred and ten percent of the property tax value.</w:t>
      </w:r>
      <w:r w:rsidR="000B1FF3">
        <w:t xml:space="preserve"> </w:t>
      </w:r>
      <w:r w:rsidRPr="000B1FF3" w:rsidR="000B1FF3">
        <w:t>Calculation of property tax value for such parcels is based on exemption value. The exemption allowed by this section applies at the time the ATI fair market value first applies.</w:t>
      </w:r>
    </w:p>
    <w:p w:rsidR="000B1FF3" w:rsidP="00A179E9" w:rsidRDefault="000B1FF3" w14:paraId="2EC05018" w14:textId="3B599DFA">
      <w:pPr>
        <w:pStyle w:val="scnewcodesection"/>
      </w:pPr>
      <w:r>
        <w:tab/>
      </w:r>
      <w:r>
        <w:tab/>
      </w:r>
      <w:bookmarkStart w:name="ss_T12C37N3137S2_lv2_b30669bac" w:id="10"/>
      <w:r>
        <w:t>(</w:t>
      </w:r>
      <w:bookmarkEnd w:id="10"/>
      <w:r>
        <w:t>2) For purposes of this section, exemption value, property tax value, and ATI fair market value have the same meaning as provided in Section 12‑37‑3135.</w:t>
      </w:r>
    </w:p>
    <w:p w:rsidR="000B1FF3" w:rsidP="00A179E9" w:rsidRDefault="000B1FF3" w14:paraId="01D11A48" w14:textId="247E2223">
      <w:pPr>
        <w:pStyle w:val="scnewcodesection"/>
      </w:pPr>
      <w:r>
        <w:tab/>
      </w:r>
      <w:bookmarkStart w:name="ss_T12C37N3137SB_lv1_b70556f34" w:id="11"/>
      <w:r>
        <w:t>(</w:t>
      </w:r>
      <w:bookmarkEnd w:id="11"/>
      <w:r>
        <w:t xml:space="preserve">B) A taxpayer may elect to claim the exemption allowed by this section instead of the exemption allowed pursuant to Section 12‑37‑3135. </w:t>
      </w:r>
      <w:r w:rsidRPr="000B1FF3">
        <w:t xml:space="preserve">The exemption allowed </w:t>
      </w:r>
      <w:r>
        <w:t>by</w:t>
      </w:r>
      <w:r w:rsidRPr="000B1FF3">
        <w:t xml:space="preserve"> this section does not apply unless the owner of the property, or the owner</w:t>
      </w:r>
      <w:r w:rsidR="001C58F9">
        <w:t>’</w:t>
      </w:r>
      <w:r w:rsidRPr="000B1FF3">
        <w:t xml:space="preserve">s agent, notifies the county assessor </w:t>
      </w:r>
      <w:r>
        <w:t>of the election to claim the exemption</w:t>
      </w:r>
      <w:r w:rsidR="00F0172C">
        <w:t xml:space="preserve"> and</w:t>
      </w:r>
      <w:r w:rsidRPr="000B1FF3">
        <w:t xml:space="preserve"> </w:t>
      </w:r>
      <w:r w:rsidRPr="00F0172C" w:rsidR="00F0172C">
        <w:t>that the property will be subject to the assessment ratio provided pursuant to Section 12‑43‑220(e)</w:t>
      </w:r>
      <w:r w:rsidR="00F0172C">
        <w:t xml:space="preserve"> </w:t>
      </w:r>
      <w:r w:rsidRPr="000B1FF3">
        <w:t>before January thirty‑first for the tax year for which the owner first claims eligibility for the exemption. No further notifications are necessary from the current owner</w:t>
      </w:r>
      <w:r w:rsidR="00F0172C">
        <w:t xml:space="preserve"> </w:t>
      </w:r>
      <w:r w:rsidRPr="00F0172C" w:rsidR="00F0172C">
        <w:t>while the property remains subject to the</w:t>
      </w:r>
      <w:r w:rsidR="00F0172C">
        <w:t xml:space="preserve"> </w:t>
      </w:r>
      <w:r w:rsidRPr="00F0172C" w:rsidR="00F0172C">
        <w:t>assessment ratio</w:t>
      </w:r>
      <w:r w:rsidR="00F0172C">
        <w:t xml:space="preserve"> provided pursuant to Section 12‑43‑220(e)</w:t>
      </w:r>
      <w:r>
        <w:t>.</w:t>
      </w:r>
    </w:p>
    <w:p w:rsidRPr="00DF3B44" w:rsidR="007E06BB" w:rsidP="00787433" w:rsidRDefault="007E06BB" w14:paraId="3D8F1FED" w14:textId="1C8B510C">
      <w:pPr>
        <w:pStyle w:val="scemptyline"/>
      </w:pPr>
    </w:p>
    <w:p w:rsidRPr="00DF3B44" w:rsidR="007A10F1" w:rsidP="007A10F1" w:rsidRDefault="00E27805" w14:paraId="0E9393B4" w14:textId="005F12FC">
      <w:pPr>
        <w:pStyle w:val="scnoncodifiedsection"/>
      </w:pPr>
      <w:bookmarkStart w:name="bs_num_3_lastsection" w:id="12"/>
      <w:bookmarkStart w:name="eff_date_section" w:id="13"/>
      <w:r w:rsidRPr="00DF3B44">
        <w:t>S</w:t>
      </w:r>
      <w:bookmarkEnd w:id="12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D849EE">
        <w:t xml:space="preserve"> and first applies to property tax years beginning after 2024</w:t>
      </w:r>
      <w:r w:rsidRPr="00DF3B44" w:rsidR="007A10F1">
        <w:t>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B6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94395E5" w:rsidR="00685035" w:rsidRPr="007B4AF7" w:rsidRDefault="00B3596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404F">
              <w:t>[3951]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593D">
              <w:rPr>
                <w:noProof/>
              </w:rPr>
              <w:t xml:space="preserve"> 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2B0E"/>
    <w:rsid w:val="00044B84"/>
    <w:rsid w:val="000479D0"/>
    <w:rsid w:val="0005704A"/>
    <w:rsid w:val="000577EB"/>
    <w:rsid w:val="0006464F"/>
    <w:rsid w:val="00066B54"/>
    <w:rsid w:val="00072FCD"/>
    <w:rsid w:val="00074A4F"/>
    <w:rsid w:val="00077B65"/>
    <w:rsid w:val="000833AD"/>
    <w:rsid w:val="000A3C25"/>
    <w:rsid w:val="000B1FF3"/>
    <w:rsid w:val="000B4C02"/>
    <w:rsid w:val="000B5B4A"/>
    <w:rsid w:val="000B7FE1"/>
    <w:rsid w:val="000C1C05"/>
    <w:rsid w:val="000C3E88"/>
    <w:rsid w:val="000C46B9"/>
    <w:rsid w:val="000C58E4"/>
    <w:rsid w:val="000C6F9A"/>
    <w:rsid w:val="000D2F44"/>
    <w:rsid w:val="000D33E4"/>
    <w:rsid w:val="000D3B90"/>
    <w:rsid w:val="000E578A"/>
    <w:rsid w:val="000F2250"/>
    <w:rsid w:val="0010329A"/>
    <w:rsid w:val="00105756"/>
    <w:rsid w:val="001164F9"/>
    <w:rsid w:val="0011719C"/>
    <w:rsid w:val="00140049"/>
    <w:rsid w:val="001615DB"/>
    <w:rsid w:val="00171601"/>
    <w:rsid w:val="001730EB"/>
    <w:rsid w:val="00173276"/>
    <w:rsid w:val="00176122"/>
    <w:rsid w:val="001808F6"/>
    <w:rsid w:val="0019025B"/>
    <w:rsid w:val="00192AF7"/>
    <w:rsid w:val="00197366"/>
    <w:rsid w:val="001A136C"/>
    <w:rsid w:val="001B6DA2"/>
    <w:rsid w:val="001C25EC"/>
    <w:rsid w:val="001C58F9"/>
    <w:rsid w:val="001D0974"/>
    <w:rsid w:val="001D7C5A"/>
    <w:rsid w:val="001E21C8"/>
    <w:rsid w:val="001E40F5"/>
    <w:rsid w:val="001F2A41"/>
    <w:rsid w:val="001F313F"/>
    <w:rsid w:val="001F331D"/>
    <w:rsid w:val="001F394C"/>
    <w:rsid w:val="00202E89"/>
    <w:rsid w:val="002038AA"/>
    <w:rsid w:val="002114C8"/>
    <w:rsid w:val="0021166F"/>
    <w:rsid w:val="002162DF"/>
    <w:rsid w:val="00217680"/>
    <w:rsid w:val="00230038"/>
    <w:rsid w:val="00233975"/>
    <w:rsid w:val="00236D73"/>
    <w:rsid w:val="00246535"/>
    <w:rsid w:val="00257F60"/>
    <w:rsid w:val="00262163"/>
    <w:rsid w:val="002625EA"/>
    <w:rsid w:val="00262821"/>
    <w:rsid w:val="00262AC5"/>
    <w:rsid w:val="00264AE9"/>
    <w:rsid w:val="00271732"/>
    <w:rsid w:val="00275AE6"/>
    <w:rsid w:val="002836D8"/>
    <w:rsid w:val="00294126"/>
    <w:rsid w:val="002A349A"/>
    <w:rsid w:val="002A7989"/>
    <w:rsid w:val="002B02F3"/>
    <w:rsid w:val="002B255E"/>
    <w:rsid w:val="002B41ED"/>
    <w:rsid w:val="002C3463"/>
    <w:rsid w:val="002D266D"/>
    <w:rsid w:val="002D5B3D"/>
    <w:rsid w:val="002D6DA3"/>
    <w:rsid w:val="002D7447"/>
    <w:rsid w:val="002E315A"/>
    <w:rsid w:val="002E47B2"/>
    <w:rsid w:val="002E4F8C"/>
    <w:rsid w:val="002F560C"/>
    <w:rsid w:val="002F5847"/>
    <w:rsid w:val="00300A03"/>
    <w:rsid w:val="0030425A"/>
    <w:rsid w:val="0030583E"/>
    <w:rsid w:val="00323EB2"/>
    <w:rsid w:val="00334925"/>
    <w:rsid w:val="003421F1"/>
    <w:rsid w:val="0034279C"/>
    <w:rsid w:val="00344B8A"/>
    <w:rsid w:val="00354F64"/>
    <w:rsid w:val="003559A1"/>
    <w:rsid w:val="00361563"/>
    <w:rsid w:val="00367203"/>
    <w:rsid w:val="00371D36"/>
    <w:rsid w:val="00373E17"/>
    <w:rsid w:val="003775E6"/>
    <w:rsid w:val="00381998"/>
    <w:rsid w:val="00390A09"/>
    <w:rsid w:val="003A5F1C"/>
    <w:rsid w:val="003B3703"/>
    <w:rsid w:val="003C3E2E"/>
    <w:rsid w:val="003D4A3C"/>
    <w:rsid w:val="003D4A82"/>
    <w:rsid w:val="003D55B2"/>
    <w:rsid w:val="003E0033"/>
    <w:rsid w:val="003E5452"/>
    <w:rsid w:val="003E7165"/>
    <w:rsid w:val="003E7FF6"/>
    <w:rsid w:val="004046B5"/>
    <w:rsid w:val="00406F27"/>
    <w:rsid w:val="0040775C"/>
    <w:rsid w:val="004141B8"/>
    <w:rsid w:val="004203B9"/>
    <w:rsid w:val="00420784"/>
    <w:rsid w:val="00432135"/>
    <w:rsid w:val="00446987"/>
    <w:rsid w:val="00446A65"/>
    <w:rsid w:val="00446D28"/>
    <w:rsid w:val="00456CB7"/>
    <w:rsid w:val="0046404F"/>
    <w:rsid w:val="00466CD0"/>
    <w:rsid w:val="004714A5"/>
    <w:rsid w:val="00471722"/>
    <w:rsid w:val="00473583"/>
    <w:rsid w:val="00477F32"/>
    <w:rsid w:val="00481850"/>
    <w:rsid w:val="004851A0"/>
    <w:rsid w:val="0048627F"/>
    <w:rsid w:val="004932AB"/>
    <w:rsid w:val="00494BEF"/>
    <w:rsid w:val="004958CA"/>
    <w:rsid w:val="004A5512"/>
    <w:rsid w:val="004A6BE5"/>
    <w:rsid w:val="004B0C18"/>
    <w:rsid w:val="004C1A04"/>
    <w:rsid w:val="004C20BC"/>
    <w:rsid w:val="004C5C9A"/>
    <w:rsid w:val="004D1442"/>
    <w:rsid w:val="004D147F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0352"/>
    <w:rsid w:val="00523F7F"/>
    <w:rsid w:val="00524D54"/>
    <w:rsid w:val="00527F19"/>
    <w:rsid w:val="00542542"/>
    <w:rsid w:val="0054506F"/>
    <w:rsid w:val="0054531B"/>
    <w:rsid w:val="00546C24"/>
    <w:rsid w:val="005476FF"/>
    <w:rsid w:val="005516F6"/>
    <w:rsid w:val="00552842"/>
    <w:rsid w:val="00554E89"/>
    <w:rsid w:val="00563243"/>
    <w:rsid w:val="00564B58"/>
    <w:rsid w:val="00572281"/>
    <w:rsid w:val="005735A4"/>
    <w:rsid w:val="005801DD"/>
    <w:rsid w:val="00592A40"/>
    <w:rsid w:val="005A28BC"/>
    <w:rsid w:val="005A5377"/>
    <w:rsid w:val="005B5167"/>
    <w:rsid w:val="005B7817"/>
    <w:rsid w:val="005C06C8"/>
    <w:rsid w:val="005C23D7"/>
    <w:rsid w:val="005C40EB"/>
    <w:rsid w:val="005C6842"/>
    <w:rsid w:val="005D02B4"/>
    <w:rsid w:val="005D2581"/>
    <w:rsid w:val="005D3013"/>
    <w:rsid w:val="005E1E50"/>
    <w:rsid w:val="005E2B9C"/>
    <w:rsid w:val="005E3332"/>
    <w:rsid w:val="005E752F"/>
    <w:rsid w:val="005F76B0"/>
    <w:rsid w:val="00604429"/>
    <w:rsid w:val="006067B0"/>
    <w:rsid w:val="00606A8B"/>
    <w:rsid w:val="00611EBA"/>
    <w:rsid w:val="006213A8"/>
    <w:rsid w:val="00623BEA"/>
    <w:rsid w:val="00632DFA"/>
    <w:rsid w:val="006347E9"/>
    <w:rsid w:val="00640C87"/>
    <w:rsid w:val="006454BB"/>
    <w:rsid w:val="00653B40"/>
    <w:rsid w:val="00657CF4"/>
    <w:rsid w:val="00661463"/>
    <w:rsid w:val="00663B8D"/>
    <w:rsid w:val="00663E00"/>
    <w:rsid w:val="006646E4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B6B7E"/>
    <w:rsid w:val="006C092D"/>
    <w:rsid w:val="006C099D"/>
    <w:rsid w:val="006C18F0"/>
    <w:rsid w:val="006C196B"/>
    <w:rsid w:val="006C7E01"/>
    <w:rsid w:val="006D0EDE"/>
    <w:rsid w:val="006D0F02"/>
    <w:rsid w:val="006D64A5"/>
    <w:rsid w:val="006E0912"/>
    <w:rsid w:val="006E0935"/>
    <w:rsid w:val="006E353F"/>
    <w:rsid w:val="006E35AB"/>
    <w:rsid w:val="006F03E7"/>
    <w:rsid w:val="006F696D"/>
    <w:rsid w:val="00711AA9"/>
    <w:rsid w:val="00722155"/>
    <w:rsid w:val="00731C08"/>
    <w:rsid w:val="00737F19"/>
    <w:rsid w:val="00765369"/>
    <w:rsid w:val="007803AF"/>
    <w:rsid w:val="00782BF8"/>
    <w:rsid w:val="00783C75"/>
    <w:rsid w:val="007849D9"/>
    <w:rsid w:val="00787433"/>
    <w:rsid w:val="00793BB1"/>
    <w:rsid w:val="00794EDC"/>
    <w:rsid w:val="007A10F1"/>
    <w:rsid w:val="007A3D50"/>
    <w:rsid w:val="007B127C"/>
    <w:rsid w:val="007B249A"/>
    <w:rsid w:val="007B2D29"/>
    <w:rsid w:val="007B412F"/>
    <w:rsid w:val="007B4AF7"/>
    <w:rsid w:val="007B4DBF"/>
    <w:rsid w:val="007C5458"/>
    <w:rsid w:val="007D10DE"/>
    <w:rsid w:val="007D2C67"/>
    <w:rsid w:val="007E06BB"/>
    <w:rsid w:val="007E66ED"/>
    <w:rsid w:val="007E7B1B"/>
    <w:rsid w:val="007F50D1"/>
    <w:rsid w:val="007F5D96"/>
    <w:rsid w:val="0081548C"/>
    <w:rsid w:val="00816D52"/>
    <w:rsid w:val="00831048"/>
    <w:rsid w:val="0083341C"/>
    <w:rsid w:val="00833599"/>
    <w:rsid w:val="00834272"/>
    <w:rsid w:val="0084760D"/>
    <w:rsid w:val="008559C1"/>
    <w:rsid w:val="008625C1"/>
    <w:rsid w:val="0086663E"/>
    <w:rsid w:val="0087237E"/>
    <w:rsid w:val="0087671D"/>
    <w:rsid w:val="008779EB"/>
    <w:rsid w:val="008806F9"/>
    <w:rsid w:val="00883B47"/>
    <w:rsid w:val="00885554"/>
    <w:rsid w:val="00887957"/>
    <w:rsid w:val="008A57E3"/>
    <w:rsid w:val="008B5BF4"/>
    <w:rsid w:val="008C0CEE"/>
    <w:rsid w:val="008C1B18"/>
    <w:rsid w:val="008C4A35"/>
    <w:rsid w:val="008C5FA4"/>
    <w:rsid w:val="008D46EC"/>
    <w:rsid w:val="008E0E25"/>
    <w:rsid w:val="008E61A1"/>
    <w:rsid w:val="009031EF"/>
    <w:rsid w:val="00917EA3"/>
    <w:rsid w:val="00917EE0"/>
    <w:rsid w:val="00921C89"/>
    <w:rsid w:val="00923B1E"/>
    <w:rsid w:val="00926966"/>
    <w:rsid w:val="00926D03"/>
    <w:rsid w:val="00934036"/>
    <w:rsid w:val="00934889"/>
    <w:rsid w:val="009447E7"/>
    <w:rsid w:val="0094541D"/>
    <w:rsid w:val="009473EA"/>
    <w:rsid w:val="00954E7E"/>
    <w:rsid w:val="009554D9"/>
    <w:rsid w:val="009572F9"/>
    <w:rsid w:val="00960D0F"/>
    <w:rsid w:val="00961156"/>
    <w:rsid w:val="00965EED"/>
    <w:rsid w:val="009705A4"/>
    <w:rsid w:val="009727F1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621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179E9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7894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3A9"/>
    <w:rsid w:val="00AE7406"/>
    <w:rsid w:val="00AF0D11"/>
    <w:rsid w:val="00AF1688"/>
    <w:rsid w:val="00AF46E6"/>
    <w:rsid w:val="00AF5139"/>
    <w:rsid w:val="00AF52C7"/>
    <w:rsid w:val="00B0656A"/>
    <w:rsid w:val="00B06EDA"/>
    <w:rsid w:val="00B1161F"/>
    <w:rsid w:val="00B11661"/>
    <w:rsid w:val="00B32B4D"/>
    <w:rsid w:val="00B3596E"/>
    <w:rsid w:val="00B4137E"/>
    <w:rsid w:val="00B5354D"/>
    <w:rsid w:val="00B54DF7"/>
    <w:rsid w:val="00B56223"/>
    <w:rsid w:val="00B56E79"/>
    <w:rsid w:val="00B57AA7"/>
    <w:rsid w:val="00B6290C"/>
    <w:rsid w:val="00B637AA"/>
    <w:rsid w:val="00B63BE2"/>
    <w:rsid w:val="00B644CD"/>
    <w:rsid w:val="00B71AF3"/>
    <w:rsid w:val="00B7592C"/>
    <w:rsid w:val="00B809D3"/>
    <w:rsid w:val="00B84B66"/>
    <w:rsid w:val="00B85475"/>
    <w:rsid w:val="00B9090A"/>
    <w:rsid w:val="00B92196"/>
    <w:rsid w:val="00B9228D"/>
    <w:rsid w:val="00B929EC"/>
    <w:rsid w:val="00BA7702"/>
    <w:rsid w:val="00BB0725"/>
    <w:rsid w:val="00BC408A"/>
    <w:rsid w:val="00BC5023"/>
    <w:rsid w:val="00BC556C"/>
    <w:rsid w:val="00BD42DA"/>
    <w:rsid w:val="00BD4684"/>
    <w:rsid w:val="00BE08A7"/>
    <w:rsid w:val="00BE4391"/>
    <w:rsid w:val="00BE593D"/>
    <w:rsid w:val="00BF3DB5"/>
    <w:rsid w:val="00BF3E48"/>
    <w:rsid w:val="00BF52C1"/>
    <w:rsid w:val="00C01AE9"/>
    <w:rsid w:val="00C15F1B"/>
    <w:rsid w:val="00C16288"/>
    <w:rsid w:val="00C17D1D"/>
    <w:rsid w:val="00C200E4"/>
    <w:rsid w:val="00C45923"/>
    <w:rsid w:val="00C53DEB"/>
    <w:rsid w:val="00C543E7"/>
    <w:rsid w:val="00C54B1F"/>
    <w:rsid w:val="00C61D9F"/>
    <w:rsid w:val="00C650D4"/>
    <w:rsid w:val="00C66E20"/>
    <w:rsid w:val="00C679D1"/>
    <w:rsid w:val="00C70225"/>
    <w:rsid w:val="00C72198"/>
    <w:rsid w:val="00C73C7D"/>
    <w:rsid w:val="00C75005"/>
    <w:rsid w:val="00C970DF"/>
    <w:rsid w:val="00CA70B2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0137"/>
    <w:rsid w:val="00CF67D0"/>
    <w:rsid w:val="00CF68D6"/>
    <w:rsid w:val="00CF7B4A"/>
    <w:rsid w:val="00D009F8"/>
    <w:rsid w:val="00D05C34"/>
    <w:rsid w:val="00D078DA"/>
    <w:rsid w:val="00D14995"/>
    <w:rsid w:val="00D204F2"/>
    <w:rsid w:val="00D2455C"/>
    <w:rsid w:val="00D25023"/>
    <w:rsid w:val="00D27F8C"/>
    <w:rsid w:val="00D33843"/>
    <w:rsid w:val="00D479EB"/>
    <w:rsid w:val="00D54A6F"/>
    <w:rsid w:val="00D57D57"/>
    <w:rsid w:val="00D62E42"/>
    <w:rsid w:val="00D772FB"/>
    <w:rsid w:val="00D849EE"/>
    <w:rsid w:val="00D872E8"/>
    <w:rsid w:val="00DA1AA0"/>
    <w:rsid w:val="00DA512B"/>
    <w:rsid w:val="00DA5E5D"/>
    <w:rsid w:val="00DC44A8"/>
    <w:rsid w:val="00DC52FA"/>
    <w:rsid w:val="00DD3E51"/>
    <w:rsid w:val="00DE4BEE"/>
    <w:rsid w:val="00DE5B3D"/>
    <w:rsid w:val="00DE6E41"/>
    <w:rsid w:val="00DE7112"/>
    <w:rsid w:val="00DF19BE"/>
    <w:rsid w:val="00DF3B44"/>
    <w:rsid w:val="00DF54E8"/>
    <w:rsid w:val="00DF69FB"/>
    <w:rsid w:val="00E11118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7ED4"/>
    <w:rsid w:val="00E6378B"/>
    <w:rsid w:val="00E63EC3"/>
    <w:rsid w:val="00E653DA"/>
    <w:rsid w:val="00E65958"/>
    <w:rsid w:val="00E81CFD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14F7"/>
    <w:rsid w:val="00ED2247"/>
    <w:rsid w:val="00ED3207"/>
    <w:rsid w:val="00ED452E"/>
    <w:rsid w:val="00ED79B6"/>
    <w:rsid w:val="00EE3CDA"/>
    <w:rsid w:val="00EF37A8"/>
    <w:rsid w:val="00EF531F"/>
    <w:rsid w:val="00F0172C"/>
    <w:rsid w:val="00F038CD"/>
    <w:rsid w:val="00F05FE8"/>
    <w:rsid w:val="00F06D86"/>
    <w:rsid w:val="00F1077D"/>
    <w:rsid w:val="00F13D87"/>
    <w:rsid w:val="00F149E5"/>
    <w:rsid w:val="00F15E33"/>
    <w:rsid w:val="00F17DA2"/>
    <w:rsid w:val="00F22EC0"/>
    <w:rsid w:val="00F22FD7"/>
    <w:rsid w:val="00F25C47"/>
    <w:rsid w:val="00F27D7B"/>
    <w:rsid w:val="00F31D34"/>
    <w:rsid w:val="00F324EC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0887"/>
    <w:rsid w:val="00F638CA"/>
    <w:rsid w:val="00F657C5"/>
    <w:rsid w:val="00F803F3"/>
    <w:rsid w:val="00F900B4"/>
    <w:rsid w:val="00F95EE6"/>
    <w:rsid w:val="00F973C2"/>
    <w:rsid w:val="00F97F95"/>
    <w:rsid w:val="00FA0F2E"/>
    <w:rsid w:val="00FA4DB1"/>
    <w:rsid w:val="00FB1ED1"/>
    <w:rsid w:val="00FB3F2A"/>
    <w:rsid w:val="00FC3593"/>
    <w:rsid w:val="00FC3612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67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B516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5167"/>
  </w:style>
  <w:style w:type="character" w:styleId="LineNumber">
    <w:name w:val="line number"/>
    <w:uiPriority w:val="99"/>
    <w:semiHidden/>
    <w:unhideWhenUsed/>
    <w:rsid w:val="005B516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B5167"/>
    <w:pPr>
      <w:spacing w:after="0" w:line="240" w:lineRule="auto"/>
    </w:pPr>
  </w:style>
  <w:style w:type="paragraph" w:customStyle="1" w:styleId="scemptylineheader">
    <w:name w:val="sc_emptyline_header"/>
    <w:qFormat/>
    <w:rsid w:val="005B516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B516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B516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B516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B5167"/>
    <w:rPr>
      <w:color w:val="808080"/>
    </w:rPr>
  </w:style>
  <w:style w:type="paragraph" w:customStyle="1" w:styleId="scdirectionallanguage">
    <w:name w:val="sc_directional_language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B516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B51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B516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B51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B51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B516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B51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B51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B51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B51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B51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B516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B516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B51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B51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B516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B516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B516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B516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5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5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67"/>
    <w:rPr>
      <w:lang w:val="en-US"/>
    </w:rPr>
  </w:style>
  <w:style w:type="paragraph" w:styleId="ListParagraph">
    <w:name w:val="List Paragraph"/>
    <w:basedOn w:val="Normal"/>
    <w:uiPriority w:val="34"/>
    <w:qFormat/>
    <w:rsid w:val="005B5167"/>
    <w:pPr>
      <w:ind w:left="720"/>
      <w:contextualSpacing/>
    </w:pPr>
  </w:style>
  <w:style w:type="paragraph" w:customStyle="1" w:styleId="scbillfooter">
    <w:name w:val="sc_bill_footer"/>
    <w:qFormat/>
    <w:rsid w:val="005B516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B516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B516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B516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B516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B51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B516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B516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B516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B5167"/>
    <w:rPr>
      <w:strike/>
      <w:dstrike w:val="0"/>
    </w:rPr>
  </w:style>
  <w:style w:type="character" w:customStyle="1" w:styleId="scinsert">
    <w:name w:val="sc_insert"/>
    <w:uiPriority w:val="1"/>
    <w:qFormat/>
    <w:rsid w:val="005B516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B516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B516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B516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B516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B516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B516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B516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B5167"/>
    <w:rPr>
      <w:strike/>
      <w:dstrike w:val="0"/>
      <w:color w:val="FF0000"/>
    </w:rPr>
  </w:style>
  <w:style w:type="paragraph" w:customStyle="1" w:styleId="scbillsiglines">
    <w:name w:val="sc_bill_sig_lines"/>
    <w:qFormat/>
    <w:rsid w:val="005B516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B516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B516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B516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B516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B516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B516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B516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038C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51&amp;session=126&amp;summary=B" TargetMode="External" Id="R0f63cddb124c4c2e" /><Relationship Type="http://schemas.openxmlformats.org/officeDocument/2006/relationships/hyperlink" Target="https://www.scstatehouse.gov/sess126_2025-2026/prever/3951_20250211.docx" TargetMode="External" Id="R99a9ffb6d7c84520" /><Relationship Type="http://schemas.openxmlformats.org/officeDocument/2006/relationships/hyperlink" Target="h:\hj\20250211.docx" TargetMode="External" Id="Rf77db5e990974e8a" /><Relationship Type="http://schemas.openxmlformats.org/officeDocument/2006/relationships/hyperlink" Target="h:\hj\20250211.docx" TargetMode="External" Id="R9a2ea3d54e5e4c9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D7C5A"/>
    <w:rsid w:val="002A7C8A"/>
    <w:rsid w:val="002D4365"/>
    <w:rsid w:val="003E4FBC"/>
    <w:rsid w:val="003F4940"/>
    <w:rsid w:val="004714A5"/>
    <w:rsid w:val="004958CA"/>
    <w:rsid w:val="004E2BB5"/>
    <w:rsid w:val="00580C56"/>
    <w:rsid w:val="006B363F"/>
    <w:rsid w:val="006D0EDE"/>
    <w:rsid w:val="007070D2"/>
    <w:rsid w:val="00776F2C"/>
    <w:rsid w:val="007803AF"/>
    <w:rsid w:val="0083341C"/>
    <w:rsid w:val="0087237E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66E20"/>
    <w:rsid w:val="00C818FB"/>
    <w:rsid w:val="00CC0451"/>
    <w:rsid w:val="00CF67D0"/>
    <w:rsid w:val="00D6665C"/>
    <w:rsid w:val="00D872E8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26e02b72-4fae-4abf-96ac-2509b9494465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2025-02-11T00:00:00-05:00</T_BILL_DT_VERSION>
  <T_BILL_D_HOUSEINTRODATE>2025-02-11</T_BILL_D_HOUSEINTRODATE>
  <T_BILL_D_INTRODATE>2025-02-11</T_BILL_D_INTRODATE>
  <T_BILL_N_INTERNALVERSIONNUMBER>1</T_BILL_N_INTERNALVERSIONNUMBER>
  <T_BILL_N_SESSION>126</T_BILL_N_SESSION>
  <T_BILL_N_VERSIONNUMBER>1</T_BILL_N_VERSIONNUMBER>
  <T_BILL_N_YEAR>2025</T_BILL_N_YEAR>
  <T_BILL_REQUEST_REQUEST>0346666e-98a6-4377-a69a-89d96702c02c</T_BILL_REQUEST_REQUEST>
  <T_BILL_R_ORIGINALDRAFT>26f5dacb-6d29-4d8a-9167-f9b4814a8874</T_BILL_R_ORIGINALDRAFT>
  <T_BILL_SPONSOR_SPONSOR>904f7187-95dd-4642-bfc5-030fe45540e8</T_BILL_SPONSOR_SPONSOR>
  <T_BILL_T_BILLNAME>[3951]</T_BILL_T_BILLNAME>
  <T_BILL_T_BILLNUMBER>3951</T_BILL_T_BILLNUMBER>
  <T_BILL_T_BILLTITLE>TO AMEND THE SOUTH CAROLINA CODE OF LAWS SO AS TO ENACT THE “TENANT PROTECTION ACT OF 2025” BY ADDING SECTION 12‑37‑3137 SO AS TO PROVIDE A PROPERTY TAX EXEMPTION LIMITING THE INCREASE IN PROPERTY TAX VALUE FOLLOWING AN ASSESSABLE TRANSFER OF INTEREST WHEN THE PROPERTY WILL BE SUBJECT TO A CERTAIN SIX PERCENT ASSESSMENT RATIO.</T_BILL_T_BILLTITLE>
  <T_BILL_T_CHAMBER>house</T_BILL_T_CHAMBER>
  <T_BILL_T_FILENAME>
  </T_BILL_T_FILENAME>
  <T_BILL_T_LEGTYPE>bill_statewide</T_BILL_T_LEGTYPE>
  <T_BILL_T_RATNUMBERSTRING>HNone</T_BILL_T_RATNUMBERSTRING>
  <T_BILL_T_SECTIONS>[{"SectionUUID":"88e4e9fa-5fc1-49f6-bbc7-7d29f5f93d58","SectionName":"Citing an Act","SectionNumber":1,"SectionType":"new","CodeSections":[],"TitleText":"so as to enact the “Tenant Protection Act of 2025”","DisableControls":false,"Deleted":false,"RepealItems":[],"SectionBookmarkName":"bs_num_1_5e4ad3575"},{"SectionUUID":"da3c58f6-f730-4e2e-9983-1c65127854d2","SectionName":"code_section","SectionNumber":2,"SectionType":"code_section","CodeSections":[{"CodeSectionBookmarkName":"ns_T12C37N3137_e902662e9","IsConstitutionSection":false,"Identity":"12-37-3137","IsNew":true,"SubSections":[{"Level":1,"Identity":"T12C37N3137SA","SubSectionBookmarkName":"ss_T12C37N3137SA_lv1_e5929e8c5","IsNewSubSection":false,"SubSectionReplacement":""},{"Level":2,"Identity":"T12C37N3137S2","SubSectionBookmarkName":"ss_T12C37N3137S2_lv2_b30669bac","IsNewSubSection":false,"SubSectionReplacement":""},{"Level":1,"Identity":"T12C37N3137SB","SubSectionBookmarkName":"ss_T12C37N3137SB_lv1_b70556f34","IsNewSubSection":false,"SubSectionReplacement":""},{"Level":2,"Identity":"T12C37N3137S1","SubSectionBookmarkName":"ss_T12C37N3137S1_lv2_1c6b736c","IsNewSubSection":false,"SubSectionReplacement":""}],"TitleRelatedTo":"","TitleSoAsTo":"provide a property tax exemption limiting the increase in property tax value following an assessible transfer of interest","Deleted":false}],"TitleText":"","DisableControls":false,"Deleted":false,"RepealItems":[],"SectionBookmarkName":"bs_num_2_06e3a2de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Tenant Protection Act of 2025</T_BILL_T_SUBJECT>
  <T_BILL_UR_DRAFTER>davidgood@scstatehouse.gov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1821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2025-02-05T15:32:00Z</cp:lastPrinted>
  <dcterms:created xsi:type="dcterms:W3CDTF">2025-02-12T16:58:00Z</dcterms:created>
  <dcterms:modified xsi:type="dcterms:W3CDTF">2025-02-12T16:58:00Z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