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Martin, Pope and M.M. Smith</w:t>
      </w:r>
    </w:p>
    <w:p>
      <w:pPr>
        <w:widowControl w:val="false"/>
        <w:spacing w:after="0"/>
        <w:jc w:val="left"/>
      </w:pPr>
      <w:r>
        <w:rPr>
          <w:rFonts w:ascii="Times New Roman"/>
          <w:sz w:val="22"/>
        </w:rPr>
        <w:t xml:space="preserve">Document Path: LC-0522WAB26.docx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Bad faith presumption in insurance settlements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a04bf8b2304241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9035aa2de2643e1">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64C8E" w:rsidRDefault="00432135" w14:paraId="31883211" w14:textId="52F72EB6">
      <w:pPr>
        <w:pStyle w:val="scemptylineheader"/>
      </w:pPr>
      <w:bookmarkStart w:name="open_doc_here" w:id="0"/>
      <w:bookmarkEnd w:id="0"/>
    </w:p>
    <w:p w:rsidRPr="00BB0725" w:rsidR="00A73EFA" w:rsidP="00464C8E" w:rsidRDefault="00A73EFA" w14:paraId="50F59542" w14:textId="6FC7D820">
      <w:pPr>
        <w:pStyle w:val="scemptylineheader"/>
      </w:pPr>
    </w:p>
    <w:p w:rsidRPr="00BB0725" w:rsidR="00A73EFA" w:rsidP="00464C8E" w:rsidRDefault="00A73EFA" w14:paraId="786BF212" w14:textId="60BB45EC">
      <w:pPr>
        <w:pStyle w:val="scemptylineheader"/>
      </w:pPr>
    </w:p>
    <w:p w:rsidRPr="00DF3B44" w:rsidR="00A73EFA" w:rsidP="00464C8E" w:rsidRDefault="00A73EFA" w14:paraId="6032885C" w14:textId="0B766A25">
      <w:pPr>
        <w:pStyle w:val="scemptylineheader"/>
      </w:pPr>
    </w:p>
    <w:p w:rsidRPr="00DF3B44" w:rsidR="00A73EFA" w:rsidP="00464C8E" w:rsidRDefault="00A73EFA" w14:paraId="0DA619F3" w14:textId="58D2C723">
      <w:pPr>
        <w:pStyle w:val="scemptylineheader"/>
      </w:pPr>
    </w:p>
    <w:p w:rsidRPr="00DF3B44" w:rsidR="00A73EFA" w:rsidP="00464C8E" w:rsidRDefault="00A73EFA" w14:paraId="383E41AA" w14:textId="292E5E50">
      <w:pPr>
        <w:pStyle w:val="scemptylineheader"/>
      </w:pPr>
    </w:p>
    <w:p w:rsidRPr="00DF3B44" w:rsidR="002C3463" w:rsidP="00037F04" w:rsidRDefault="002C3463" w14:paraId="4769EE0D" w14:textId="77777777">
      <w:pPr>
        <w:pStyle w:val="scemptylineheader"/>
      </w:pPr>
    </w:p>
    <w:p w:rsidRPr="00DF3B44" w:rsidR="008E61A1" w:rsidP="00446987" w:rsidRDefault="008E61A1" w14:paraId="45DE33A7" w14:textId="77777777">
      <w:pPr>
        <w:pStyle w:val="scemptylineheader"/>
      </w:pPr>
    </w:p>
    <w:p w:rsidRPr="00DF3B44" w:rsidR="002C3463" w:rsidP="00EB120E" w:rsidRDefault="002C3463" w14:paraId="787059B8" w14:textId="77777777">
      <w:pPr>
        <w:pStyle w:val="scbillheader"/>
      </w:pPr>
      <w:r w:rsidRPr="00DF3B44">
        <w:t>A bill</w:t>
      </w:r>
    </w:p>
    <w:p w:rsidRPr="00DF3B44" w:rsidR="002C3463" w:rsidP="001164F9" w:rsidRDefault="002C3463" w14:paraId="092ECFB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E5ACD" w14:paraId="63E2B036" w14:textId="35790A93">
          <w:pPr>
            <w:pStyle w:val="scbilltitle"/>
          </w:pPr>
          <w:r>
            <w:t>TO AMEND THE SOUTH CAROLINA CODE OF LAWS BY ENACTING THE “BAD FAITH PRESUMPTION IN INSURANCE SETTLEMENT OFFER ACT” BY ADDING SECTION 38‑59‑60 SO AS TO PROVIDE A REBUTTABLE PRESUMPTION OF BAD FAITH BY AN INSURER IN CERTAIN CIRCUMSTANCES INVOLVING INSURANCE SETTLEMENT AGREEMENTS, TO DEFINE NECESSARY TERMS, TO PROVIDE THE PRESUMPTION IS REBUTTABLE, AND TO PROVIDE THE ADMISSIBILITY OF SETTLEMENT AGREEMENTS IN SUBSEQUENT BAD FAITH ACTIONS, AMONG OTHER THINGS</w:t>
          </w:r>
          <w:r w:rsidR="0056480F">
            <w:t>.</w:t>
          </w:r>
        </w:p>
      </w:sdtContent>
    </w:sdt>
    <w:bookmarkStart w:name="at_425bb0155" w:displacedByCustomXml="prev" w:id="1"/>
    <w:bookmarkEnd w:id="1"/>
    <w:p w:rsidR="006C18F0" w:rsidP="006C18F0" w:rsidRDefault="006C18F0" w14:paraId="0A8EEB93" w14:textId="77777777">
      <w:pPr>
        <w:pStyle w:val="scbillwhereasclause"/>
      </w:pPr>
    </w:p>
    <w:p w:rsidR="002D0183" w:rsidP="002D0183" w:rsidRDefault="002D0183" w14:paraId="27F025B8" w14:textId="77777777">
      <w:pPr>
        <w:pStyle w:val="scbillwhereasclause"/>
      </w:pPr>
      <w:bookmarkStart w:name="wa_c401c26a4" w:id="2"/>
      <w:r>
        <w:t>W</w:t>
      </w:r>
      <w:bookmarkEnd w:id="2"/>
      <w:r>
        <w:t>hereas, the South Carolina General Assembly finds that insureds, claimants and defendants often reach a mutual agreement to settle a claim within the available liability coverage limits of an insurance policy; and</w:t>
      </w:r>
    </w:p>
    <w:p w:rsidR="002D0183" w:rsidP="002D0183" w:rsidRDefault="002D0183" w14:paraId="42E3C9FA" w14:textId="77777777">
      <w:pPr>
        <w:pStyle w:val="scbillwhereasclause"/>
      </w:pPr>
    </w:p>
    <w:p w:rsidR="002D0183" w:rsidP="002D0183" w:rsidRDefault="002D0183" w14:paraId="37C85642" w14:textId="77777777">
      <w:pPr>
        <w:pStyle w:val="scbillwhereasclause"/>
      </w:pPr>
      <w:bookmarkStart w:name="wa_e79e59432" w:id="3"/>
      <w:r>
        <w:t>W</w:t>
      </w:r>
      <w:bookmarkEnd w:id="3"/>
      <w:r>
        <w:t>hereas, when the insurance company or its adjuster refuses to settle within the policy limits despite the agreement of the insured, defendant, and claimant, the insured is exposed to the risk of a judgment in excess of coverage, even though settlement was available within policy limits; and</w:t>
      </w:r>
    </w:p>
    <w:p w:rsidR="002D0183" w:rsidP="002D0183" w:rsidRDefault="002D0183" w14:paraId="1BA20509" w14:textId="77777777">
      <w:pPr>
        <w:pStyle w:val="scbillwhereasclause"/>
      </w:pPr>
    </w:p>
    <w:p w:rsidR="002D0183" w:rsidP="002D0183" w:rsidRDefault="002D0183" w14:paraId="31A7E2B1" w14:textId="77777777">
      <w:pPr>
        <w:pStyle w:val="scbillwhereasclause"/>
      </w:pPr>
      <w:bookmarkStart w:name="wa_75236e4ac" w:id="4"/>
      <w:r>
        <w:t>W</w:t>
      </w:r>
      <w:bookmarkEnd w:id="4"/>
      <w:r>
        <w:t>hereas, the failure to accept a settlement within policy limits under such circumstances undermines the purpose of liability insurance, increases costs to the civil justice system, and may constitute bad faith by the insurer; and</w:t>
      </w:r>
    </w:p>
    <w:p w:rsidR="002D0183" w:rsidP="002D0183" w:rsidRDefault="002D0183" w14:paraId="10B07187" w14:textId="77777777">
      <w:pPr>
        <w:pStyle w:val="scbillwhereasclause"/>
      </w:pPr>
    </w:p>
    <w:p w:rsidR="002D0183" w:rsidP="002D0183" w:rsidRDefault="002D0183" w14:paraId="5BFFF79F" w14:textId="77777777">
      <w:pPr>
        <w:pStyle w:val="scbillwhereasclause"/>
      </w:pPr>
      <w:bookmarkStart w:name="wa_90c66a491" w:id="5"/>
      <w:r>
        <w:t>W</w:t>
      </w:r>
      <w:bookmarkEnd w:id="5"/>
      <w:r>
        <w:t>hereas, in order to protect insureds and promote settlement within policy limits, this act creates a rebuttable presumption of bad‑faith conduct by the insurer when certain conditions are met. Now, therefore,</w:t>
      </w:r>
    </w:p>
    <w:p w:rsidRPr="00DF3B44" w:rsidR="002D0183" w:rsidP="002D0183" w:rsidRDefault="002D0183" w14:paraId="05CB75B8" w14:textId="77777777">
      <w:pPr>
        <w:pStyle w:val="scbillwhereasclause"/>
      </w:pPr>
    </w:p>
    <w:p w:rsidRPr="0094541D" w:rsidR="007E06BB" w:rsidP="0094541D" w:rsidRDefault="002C3463" w14:paraId="696FB6FC" w14:textId="77777777">
      <w:pPr>
        <w:pStyle w:val="scenactingwords"/>
      </w:pPr>
      <w:bookmarkStart w:name="ew_329c6e044" w:id="6"/>
      <w:r w:rsidRPr="0094541D">
        <w:t>B</w:t>
      </w:r>
      <w:bookmarkEnd w:id="6"/>
      <w:r w:rsidRPr="0094541D">
        <w:t>e it enacted by the General Assembly of the State of South Carolina:</w:t>
      </w:r>
    </w:p>
    <w:p w:rsidR="002F7A44" w:rsidP="002F7A44" w:rsidRDefault="002F7A44" w14:paraId="7DCBC2A7" w14:textId="77777777">
      <w:pPr>
        <w:pStyle w:val="scemptyline"/>
      </w:pPr>
    </w:p>
    <w:p w:rsidR="002F7A44" w:rsidP="0005626F" w:rsidRDefault="002F7A44" w14:paraId="0CF76A18" w14:textId="040DCA64">
      <w:pPr>
        <w:pStyle w:val="scnoncodifiedsection"/>
      </w:pPr>
      <w:bookmarkStart w:name="bs_num_1_84303b85d" w:id="7"/>
      <w:bookmarkStart w:name="citing_act_bdb7c5ceb" w:id="8"/>
      <w:r>
        <w:t>S</w:t>
      </w:r>
      <w:bookmarkEnd w:id="7"/>
      <w:r>
        <w:t>ECTION 1.</w:t>
      </w:r>
      <w:r>
        <w:tab/>
      </w:r>
      <w:bookmarkEnd w:id="8"/>
      <w:r w:rsidR="0005626F">
        <w:rPr>
          <w:shd w:val="clear" w:color="auto" w:fill="FFFFFF"/>
        </w:rPr>
        <w:t>This act may be cited as the “</w:t>
      </w:r>
      <w:r w:rsidRPr="00151028" w:rsidR="00151028">
        <w:rPr>
          <w:shd w:val="clear" w:color="auto" w:fill="FFFFFF"/>
        </w:rPr>
        <w:t>Bad</w:t>
      </w:r>
      <w:r w:rsidR="00151028">
        <w:rPr>
          <w:shd w:val="clear" w:color="auto" w:fill="FFFFFF"/>
        </w:rPr>
        <w:t xml:space="preserve"> </w:t>
      </w:r>
      <w:r w:rsidRPr="00151028" w:rsidR="00151028">
        <w:rPr>
          <w:shd w:val="clear" w:color="auto" w:fill="FFFFFF"/>
        </w:rPr>
        <w:t>Faith Presumption in Insurance Settlement Offer Act</w:t>
      </w:r>
      <w:r w:rsidR="00973F4F">
        <w:rPr>
          <w:shd w:val="clear" w:color="auto" w:fill="FFFFFF"/>
        </w:rPr>
        <w:t>.</w:t>
      </w:r>
      <w:r w:rsidR="0005626F">
        <w:rPr>
          <w:shd w:val="clear" w:color="auto" w:fill="FFFFFF"/>
        </w:rPr>
        <w:t>”</w:t>
      </w:r>
    </w:p>
    <w:p w:rsidR="00FD463E" w:rsidRDefault="00FD463E" w14:paraId="0AADE414" w14:textId="77777777">
      <w:pPr>
        <w:pStyle w:val="scemptyline"/>
      </w:pPr>
    </w:p>
    <w:p w:rsidR="006E3256" w:rsidP="006E3256" w:rsidRDefault="006E3256" w14:paraId="4C138013" w14:textId="77777777">
      <w:pPr>
        <w:pStyle w:val="scdirectionallanguage"/>
      </w:pPr>
      <w:bookmarkStart w:name="bs_num_2_5f4a72ea8" w:id="9"/>
      <w:r>
        <w:t>S</w:t>
      </w:r>
      <w:bookmarkEnd w:id="9"/>
      <w:r>
        <w:t>ECTION 2.</w:t>
      </w:r>
      <w:r>
        <w:tab/>
      </w:r>
      <w:bookmarkStart w:name="dl_d5ab8f1ae" w:id="10"/>
      <w:r>
        <w:t>A</w:t>
      </w:r>
      <w:bookmarkEnd w:id="10"/>
      <w:r>
        <w:t>rticle 1, Chapter 59, Title 38 of the S.C. Code is amended by adding:</w:t>
      </w:r>
    </w:p>
    <w:p w:rsidR="00FD463E" w:rsidRDefault="00FD463E" w14:paraId="23252435" w14:textId="77777777">
      <w:pPr>
        <w:pStyle w:val="scnewcodesection"/>
      </w:pPr>
    </w:p>
    <w:p w:rsidR="00DA1AE7" w:rsidP="00DA1AE7" w:rsidRDefault="00FD463E" w14:paraId="5E2D9A25" w14:textId="77777777">
      <w:pPr>
        <w:pStyle w:val="scnewcodesection"/>
      </w:pPr>
      <w:r>
        <w:tab/>
      </w:r>
      <w:bookmarkStart w:name="ns_T38C59N60_4cbbabb11" w:id="11"/>
      <w:r>
        <w:t>S</w:t>
      </w:r>
      <w:bookmarkEnd w:id="11"/>
      <w:r>
        <w:t>ection 38‑59‑60.</w:t>
      </w:r>
      <w:r>
        <w:tab/>
      </w:r>
      <w:bookmarkStart w:name="ss_T38C59N60SA_lv1_e193820d6" w:id="12"/>
      <w:r w:rsidR="00DA1AE7">
        <w:t>(</w:t>
      </w:r>
      <w:bookmarkEnd w:id="12"/>
      <w:r w:rsidR="00DA1AE7">
        <w:t>A) For purposes of this section:</w:t>
      </w:r>
    </w:p>
    <w:p w:rsidR="00DA1AE7" w:rsidP="00DA1AE7" w:rsidRDefault="00DA1AE7" w14:paraId="167F7242" w14:textId="77777777">
      <w:pPr>
        <w:pStyle w:val="scnewcodesection"/>
      </w:pPr>
      <w:r>
        <w:lastRenderedPageBreak/>
        <w:tab/>
      </w:r>
      <w:r>
        <w:tab/>
      </w:r>
      <w:bookmarkStart w:name="ss_T38C59N60S1_lv2_b129b3a5a" w:id="13"/>
      <w:r>
        <w:t>(</w:t>
      </w:r>
      <w:bookmarkEnd w:id="13"/>
      <w:r>
        <w:t>1) “Bad faith” means the insurer’s unreasonable refusal to settle within policy limits when liability is reasonably clear and an offer within limits is available and accepted by the claimant and defendant, such that the insurer’s conduct falls outside of the standards of good faith and fair dealing.</w:t>
      </w:r>
    </w:p>
    <w:p w:rsidR="00DA1AE7" w:rsidP="00DA1AE7" w:rsidRDefault="00DA1AE7" w14:paraId="324F0846" w14:textId="77777777">
      <w:pPr>
        <w:pStyle w:val="scnewcodesection"/>
      </w:pPr>
      <w:r>
        <w:tab/>
      </w:r>
      <w:r>
        <w:tab/>
      </w:r>
      <w:bookmarkStart w:name="ss_T38C59N60S2_lv2_fc95c6b81" w:id="14"/>
      <w:r>
        <w:t>(</w:t>
      </w:r>
      <w:bookmarkEnd w:id="14"/>
      <w:r>
        <w:t>2) “Claimant” means the person or entity asserting a compensation claim against the insured under the subject policy.</w:t>
      </w:r>
    </w:p>
    <w:p w:rsidR="00DA1AE7" w:rsidP="00DA1AE7" w:rsidRDefault="00DA1AE7" w14:paraId="1CFD250C" w14:textId="77777777">
      <w:pPr>
        <w:pStyle w:val="scnewcodesection"/>
      </w:pPr>
      <w:r>
        <w:tab/>
      </w:r>
      <w:r>
        <w:tab/>
      </w:r>
      <w:bookmarkStart w:name="ss_T38C59N60S3_lv2_ef1494d50" w:id="15"/>
      <w:r>
        <w:t>(</w:t>
      </w:r>
      <w:bookmarkEnd w:id="15"/>
      <w:r>
        <w:t>3) “Defendant” means the insured or other party covered under the liability policy that is being defended by the insurer against the claimant’s claim.</w:t>
      </w:r>
    </w:p>
    <w:p w:rsidR="00DA1AE7" w:rsidP="00DA1AE7" w:rsidRDefault="00DA1AE7" w14:paraId="3682F901" w14:textId="77777777">
      <w:pPr>
        <w:pStyle w:val="scnewcodesection"/>
      </w:pPr>
      <w:r>
        <w:tab/>
      </w:r>
      <w:r>
        <w:tab/>
      </w:r>
      <w:bookmarkStart w:name="ss_T38C59N60S4_lv2_f0e475af5" w:id="16"/>
      <w:r>
        <w:t>(</w:t>
      </w:r>
      <w:bookmarkEnd w:id="16"/>
      <w:r>
        <w:t>4) “Insurer” means the liability insurance company that issued the policy and is responsible for handling and settling claims under the policy.</w:t>
      </w:r>
    </w:p>
    <w:p w:rsidR="00DA1AE7" w:rsidP="00DA1AE7" w:rsidRDefault="00DA1AE7" w14:paraId="59976551" w14:textId="77777777">
      <w:pPr>
        <w:pStyle w:val="scnewcodesection"/>
      </w:pPr>
      <w:r>
        <w:tab/>
      </w:r>
      <w:r>
        <w:tab/>
      </w:r>
      <w:bookmarkStart w:name="ss_T38C59N60S5_lv2_f51bbfd3d" w:id="17"/>
      <w:r>
        <w:t>(</w:t>
      </w:r>
      <w:bookmarkEnd w:id="17"/>
      <w:r>
        <w:t>5) “Policy limits” means the maximum amount of liability coverage available under the insurance policy, including any applicable umbrella or excess coverage, at the time the settlement offer is made.</w:t>
      </w:r>
    </w:p>
    <w:p w:rsidR="00DA1AE7" w:rsidP="00DA1AE7" w:rsidRDefault="00DA1AE7" w14:paraId="2016B8FB" w14:textId="53B3C6CC">
      <w:pPr>
        <w:pStyle w:val="scnewcodesection"/>
      </w:pPr>
      <w:r>
        <w:tab/>
      </w:r>
      <w:r>
        <w:tab/>
      </w:r>
      <w:bookmarkStart w:name="ss_T38C59N60S6_lv2_c11b0f672" w:id="18"/>
      <w:r>
        <w:t>(</w:t>
      </w:r>
      <w:bookmarkEnd w:id="18"/>
      <w:r>
        <w:t>6) “Settlement agreement” means a written agreement signed by the claimant, the defendant, and counsel for each of those parties, specifying resolution of the claim for the policy limits and designated as confidential under Rule 43(k), South Carolina Rules of Civil Procedure.</w:t>
      </w:r>
    </w:p>
    <w:p w:rsidR="00DA1AE7" w:rsidP="00DA1AE7" w:rsidRDefault="00DA1AE7" w14:paraId="22C345E2" w14:textId="369E43A2">
      <w:pPr>
        <w:pStyle w:val="scnewcodesection"/>
      </w:pPr>
      <w:r>
        <w:tab/>
      </w:r>
      <w:bookmarkStart w:name="ss_T38C59N60SB_lv1_3d57cf4a8" w:id="19"/>
      <w:r>
        <w:t>(</w:t>
      </w:r>
      <w:bookmarkEnd w:id="19"/>
      <w:r>
        <w:t>B)</w:t>
      </w:r>
      <w:bookmarkStart w:name="ss_T38C59N60S1_lv2_931693150" w:id="20"/>
      <w:r w:rsidR="005E6089">
        <w:t>(</w:t>
      </w:r>
      <w:bookmarkEnd w:id="20"/>
      <w:r w:rsidR="005E6089">
        <w:t xml:space="preserve">1) </w:t>
      </w:r>
      <w:r>
        <w:t>A rebuttable presumption of bad faith by the insurer shall arise if all of the following conditions are satisfied:</w:t>
      </w:r>
    </w:p>
    <w:p w:rsidR="00DA1AE7" w:rsidP="00DA1AE7" w:rsidRDefault="00DA1AE7" w14:paraId="385CBAA1" w14:textId="77777777">
      <w:pPr>
        <w:pStyle w:val="scnewcodesection"/>
      </w:pPr>
      <w:r>
        <w:tab/>
      </w:r>
      <w:r>
        <w:tab/>
      </w:r>
      <w:r>
        <w:tab/>
      </w:r>
      <w:bookmarkStart w:name="ss_T38C59N60Sa_lv3_63330fc96" w:id="21"/>
      <w:r>
        <w:t>(</w:t>
      </w:r>
      <w:bookmarkEnd w:id="21"/>
      <w:r>
        <w:t>a) a settlement agreement has been executed by the claimant, the defendant, and their respective counsel, in which the claimant agrees to resolve the claim within the available policy limits, and the defendant and counsel join in that agreement;</w:t>
      </w:r>
    </w:p>
    <w:p w:rsidR="00DA1AE7" w:rsidP="00DA1AE7" w:rsidRDefault="00DA1AE7" w14:paraId="58708FEC" w14:textId="77777777">
      <w:pPr>
        <w:pStyle w:val="scnewcodesection"/>
      </w:pPr>
      <w:r>
        <w:tab/>
      </w:r>
      <w:r>
        <w:tab/>
      </w:r>
      <w:r>
        <w:tab/>
      </w:r>
      <w:bookmarkStart w:name="ss_T38C59N60Sb_lv3_8853c8c35" w:id="22"/>
      <w:r>
        <w:t>(</w:t>
      </w:r>
      <w:bookmarkEnd w:id="22"/>
      <w:r>
        <w:t>b) the insurer, after being timely notified of the settlement agreement and given a reasonable opportunity to accept and execute it, refuses or fails to accept the settlement agreement and effectuate payment within the policy limits; and</w:t>
      </w:r>
    </w:p>
    <w:p w:rsidR="00DA1AE7" w:rsidP="00DA1AE7" w:rsidRDefault="00DA1AE7" w14:paraId="714E3DFA" w14:textId="77777777">
      <w:pPr>
        <w:pStyle w:val="scnewcodesection"/>
      </w:pPr>
      <w:r>
        <w:tab/>
      </w:r>
      <w:r>
        <w:tab/>
      </w:r>
      <w:r>
        <w:tab/>
      </w:r>
      <w:bookmarkStart w:name="ss_T38C59N60Sc_lv3_b0f150fdd" w:id="23"/>
      <w:r>
        <w:t>(</w:t>
      </w:r>
      <w:bookmarkEnd w:id="23"/>
      <w:r>
        <w:t>c) the case thereafter proceeds to trial, and a final judgment or binding arbitration award is entered in favor of the claimant in an amount that exceeds the insurer’s policy limits.</w:t>
      </w:r>
    </w:p>
    <w:p w:rsidR="00DA1AE7" w:rsidP="00DA1AE7" w:rsidRDefault="00DA1AE7" w14:paraId="358CA30D" w14:textId="2735C2C5">
      <w:pPr>
        <w:pStyle w:val="scnewcodesection"/>
      </w:pPr>
      <w:r>
        <w:tab/>
      </w:r>
      <w:r>
        <w:tab/>
      </w:r>
      <w:bookmarkStart w:name="ss_T38C59N60S2_lv2_6b2dc5bcd" w:id="24"/>
      <w:r>
        <w:t>(</w:t>
      </w:r>
      <w:bookmarkEnd w:id="24"/>
      <w:r w:rsidR="005E6089">
        <w:t>2</w:t>
      </w:r>
      <w:r>
        <w:t>) The insurer may rebut this presumption by presenting evidence that the refusal to settle was reasonable under the circumstances including</w:t>
      </w:r>
      <w:r w:rsidR="00973F4F">
        <w:t>,</w:t>
      </w:r>
      <w:r>
        <w:t xml:space="preserve"> but not limited to:</w:t>
      </w:r>
    </w:p>
    <w:p w:rsidR="00DA1AE7" w:rsidP="00DA1AE7" w:rsidRDefault="00DA1AE7" w14:paraId="6F57ECDB" w14:textId="77777777">
      <w:pPr>
        <w:pStyle w:val="scnewcodesection"/>
      </w:pPr>
      <w:r>
        <w:tab/>
      </w:r>
      <w:r>
        <w:tab/>
      </w:r>
      <w:r>
        <w:tab/>
      </w:r>
      <w:bookmarkStart w:name="ss_T38C59N60Sa_lv3_5d6534981" w:id="25"/>
      <w:r>
        <w:t>(</w:t>
      </w:r>
      <w:bookmarkEnd w:id="25"/>
      <w:r>
        <w:t>a) existence of a material factual or legal defense;</w:t>
      </w:r>
    </w:p>
    <w:p w:rsidR="00DA1AE7" w:rsidP="00DA1AE7" w:rsidRDefault="00DA1AE7" w14:paraId="1B26842C" w14:textId="77777777">
      <w:pPr>
        <w:pStyle w:val="scnewcodesection"/>
      </w:pPr>
      <w:r>
        <w:tab/>
      </w:r>
      <w:r>
        <w:tab/>
      </w:r>
      <w:r>
        <w:tab/>
      </w:r>
      <w:bookmarkStart w:name="ss_T38C59N60Sb_lv3_f8aeaf8ee" w:id="26"/>
      <w:r>
        <w:t>(</w:t>
      </w:r>
      <w:bookmarkEnd w:id="26"/>
      <w:r>
        <w:t>b) exposure to greater liability than reasonably anticipated at the time of the Settlement Agreement; or</w:t>
      </w:r>
    </w:p>
    <w:p w:rsidR="00DA1AE7" w:rsidP="00DA1AE7" w:rsidRDefault="00DA1AE7" w14:paraId="2FA95424" w14:textId="77777777">
      <w:pPr>
        <w:pStyle w:val="scnewcodesection"/>
      </w:pPr>
      <w:r>
        <w:tab/>
      </w:r>
      <w:r>
        <w:tab/>
      </w:r>
      <w:r>
        <w:tab/>
      </w:r>
      <w:bookmarkStart w:name="ss_T38C59N60Sc_lv3_09db1e974" w:id="27"/>
      <w:r>
        <w:t>(</w:t>
      </w:r>
      <w:bookmarkEnd w:id="27"/>
      <w:r>
        <w:t>c) information not reasonably available to the insurer at the time the Settlement Agreement was proposed.</w:t>
      </w:r>
    </w:p>
    <w:p w:rsidR="00DA1AE7" w:rsidP="00DA1AE7" w:rsidRDefault="00DA1AE7" w14:paraId="0E0DBFD9" w14:textId="616F13EC">
      <w:pPr>
        <w:pStyle w:val="scnewcodesection"/>
      </w:pPr>
      <w:r>
        <w:tab/>
      </w:r>
      <w:r>
        <w:tab/>
      </w:r>
      <w:bookmarkStart w:name="ss_T38C59N60S3_lv2_4158eff24" w:id="28"/>
      <w:r>
        <w:t>(</w:t>
      </w:r>
      <w:bookmarkEnd w:id="28"/>
      <w:r w:rsidR="00973F4F">
        <w:t>3</w:t>
      </w:r>
      <w:r>
        <w:t>) If the presumption is not rebutted, the insurer may be liable for such additional damages, interest, and attorney’s fees as provided under existing bad‑faith law in this State.</w:t>
      </w:r>
    </w:p>
    <w:p w:rsidR="00DA1AE7" w:rsidP="00DA1AE7" w:rsidRDefault="00DA1AE7" w14:paraId="4085A858" w14:textId="77777777">
      <w:pPr>
        <w:pStyle w:val="scnewcodesection"/>
      </w:pPr>
      <w:r>
        <w:tab/>
      </w:r>
      <w:bookmarkStart w:name="ss_T38C59N60SC_lv1_37292dde1" w:id="29"/>
      <w:r>
        <w:t>(</w:t>
      </w:r>
      <w:bookmarkEnd w:id="29"/>
      <w:r>
        <w:t>C) A settlement agreement as provided in subsection (B) must be admissible in any subsequent bad‑faith action against the insurer solely for the purpose of establishing the presumption referenced in that section. The settlement agreement may not be used in the underlying liability action or for any other purpose, except as otherwise agreed by the parties or ordered by a court for good cause shown.</w:t>
      </w:r>
    </w:p>
    <w:p w:rsidR="00FD463E" w:rsidP="00DA1AE7" w:rsidRDefault="00DA1AE7" w14:paraId="62EACDC8" w14:textId="629820DE">
      <w:pPr>
        <w:pStyle w:val="scnewcodesection"/>
      </w:pPr>
      <w:r>
        <w:tab/>
      </w:r>
      <w:bookmarkStart w:name="ss_T38C59N60SD_lv1_a269d6b72" w:id="30"/>
      <w:r>
        <w:t>(</w:t>
      </w:r>
      <w:bookmarkEnd w:id="30"/>
      <w:r>
        <w:t>D) Nothing in this section may affect the underlying rights or defenses of the insurer, insured, claimant, or defendant with respect to coverage, policy interpretation, liability, contributory negligence, comparative fault, or other matters in the underlying liability action, except as specifically provided in this section.</w:t>
      </w:r>
    </w:p>
    <w:p w:rsidR="00FD463E" w:rsidRDefault="00FD463E" w14:paraId="64E56B43" w14:textId="77777777">
      <w:pPr>
        <w:pStyle w:val="scemptyline"/>
      </w:pPr>
    </w:p>
    <w:p w:rsidR="006E3256" w:rsidP="00D36466" w:rsidRDefault="006E3256" w14:paraId="5050E1F9" w14:textId="77777777">
      <w:pPr>
        <w:pStyle w:val="scnoncodifiedsection"/>
      </w:pPr>
      <w:bookmarkStart w:name="bs_num_3_a5d4ddf4f" w:id="31"/>
      <w:bookmarkStart w:name="severability_5bab8ea2b" w:id="32"/>
      <w:r>
        <w:t>S</w:t>
      </w:r>
      <w:bookmarkEnd w:id="31"/>
      <w:r>
        <w:t>ECTION 3.</w:t>
      </w:r>
      <w:r>
        <w:tab/>
      </w:r>
      <w:bookmarkEnd w:id="32"/>
      <w:r w:rsidRPr="00B0415B" w:rsidR="00D36466">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49F9F83B" w14:textId="77777777">
      <w:pPr>
        <w:pStyle w:val="scemptyline"/>
      </w:pPr>
    </w:p>
    <w:p w:rsidRPr="00DF3B44" w:rsidR="007A10F1" w:rsidP="007A10F1" w:rsidRDefault="00E27805" w14:paraId="15B4C30E" w14:textId="77777777">
      <w:pPr>
        <w:pStyle w:val="scnoncodifiedsection"/>
      </w:pPr>
      <w:bookmarkStart w:name="bs_num_4_lastsection" w:id="33"/>
      <w:bookmarkStart w:name="eff_date_section" w:id="34"/>
      <w:r w:rsidRPr="00DF3B44">
        <w:t>S</w:t>
      </w:r>
      <w:bookmarkEnd w:id="33"/>
      <w:r w:rsidRPr="00DF3B44">
        <w:t>ECTION 4.</w:t>
      </w:r>
      <w:r w:rsidRPr="00DF3B44" w:rsidR="005D3013">
        <w:tab/>
      </w:r>
      <w:r w:rsidRPr="00DF3B44" w:rsidR="007A10F1">
        <w:t>This act takes effect upon approval by the Governor.</w:t>
      </w:r>
      <w:bookmarkEnd w:id="34"/>
    </w:p>
    <w:p w:rsidRPr="00DF3B44" w:rsidR="005516F6" w:rsidP="009E4191" w:rsidRDefault="007A10F1" w14:paraId="52ABBED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EC6A7" w14:textId="77777777" w:rsidR="003C60AA" w:rsidRDefault="003C60AA" w:rsidP="0010329A">
      <w:pPr>
        <w:spacing w:after="0" w:line="240" w:lineRule="auto"/>
      </w:pPr>
      <w:r>
        <w:separator/>
      </w:r>
    </w:p>
    <w:p w14:paraId="40F7AC57" w14:textId="77777777" w:rsidR="003C60AA" w:rsidRDefault="003C60AA"/>
  </w:endnote>
  <w:endnote w:type="continuationSeparator" w:id="0">
    <w:p w14:paraId="7B6D0CCC" w14:textId="77777777" w:rsidR="003C60AA" w:rsidRDefault="003C60AA" w:rsidP="0010329A">
      <w:pPr>
        <w:spacing w:after="0" w:line="240" w:lineRule="auto"/>
      </w:pPr>
      <w:r>
        <w:continuationSeparator/>
      </w:r>
    </w:p>
    <w:p w14:paraId="2190F7C1" w14:textId="77777777" w:rsidR="003C60AA" w:rsidRDefault="003C60AA"/>
  </w:endnote>
  <w:endnote w:type="continuationNotice" w:id="1">
    <w:p w14:paraId="54EBB7C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8C9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2B91AB6" w14:textId="77777777" w:rsidR="00685035" w:rsidRPr="007B4AF7" w:rsidRDefault="00242EC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8307E">
              <w:rPr>
                <w:noProof/>
              </w:rPr>
              <w:t>LC-0522WAB26.docx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E38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1F738" w14:textId="77777777" w:rsidR="003C60AA" w:rsidRDefault="003C60AA" w:rsidP="0010329A">
      <w:pPr>
        <w:spacing w:after="0" w:line="240" w:lineRule="auto"/>
      </w:pPr>
      <w:r>
        <w:separator/>
      </w:r>
    </w:p>
    <w:p w14:paraId="53F60193" w14:textId="77777777" w:rsidR="003C60AA" w:rsidRDefault="003C60AA"/>
  </w:footnote>
  <w:footnote w:type="continuationSeparator" w:id="0">
    <w:p w14:paraId="6ECC3987" w14:textId="77777777" w:rsidR="003C60AA" w:rsidRDefault="003C60AA" w:rsidP="0010329A">
      <w:pPr>
        <w:spacing w:after="0" w:line="240" w:lineRule="auto"/>
      </w:pPr>
      <w:r>
        <w:continuationSeparator/>
      </w:r>
    </w:p>
    <w:p w14:paraId="2BC7E83B" w14:textId="77777777" w:rsidR="003C60AA" w:rsidRDefault="003C60AA"/>
  </w:footnote>
  <w:footnote w:type="continuationNotice" w:id="1">
    <w:p w14:paraId="34C16F0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5EB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E42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71C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03B"/>
    <w:rsid w:val="00011182"/>
    <w:rsid w:val="00012912"/>
    <w:rsid w:val="00017FB0"/>
    <w:rsid w:val="00020B5D"/>
    <w:rsid w:val="00024F5D"/>
    <w:rsid w:val="00026421"/>
    <w:rsid w:val="00030409"/>
    <w:rsid w:val="00037F04"/>
    <w:rsid w:val="000404BF"/>
    <w:rsid w:val="000416A6"/>
    <w:rsid w:val="00044B84"/>
    <w:rsid w:val="000479D0"/>
    <w:rsid w:val="0005626F"/>
    <w:rsid w:val="0006464F"/>
    <w:rsid w:val="00066B54"/>
    <w:rsid w:val="00072EAC"/>
    <w:rsid w:val="00072FCD"/>
    <w:rsid w:val="00074A4F"/>
    <w:rsid w:val="00074EE0"/>
    <w:rsid w:val="00077B65"/>
    <w:rsid w:val="000A3C25"/>
    <w:rsid w:val="000A45E6"/>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42B57"/>
    <w:rsid w:val="00151028"/>
    <w:rsid w:val="00160967"/>
    <w:rsid w:val="00171601"/>
    <w:rsid w:val="001730EB"/>
    <w:rsid w:val="00173276"/>
    <w:rsid w:val="00176122"/>
    <w:rsid w:val="00183FCF"/>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456C"/>
    <w:rsid w:val="00236D73"/>
    <w:rsid w:val="002423CD"/>
    <w:rsid w:val="0024374A"/>
    <w:rsid w:val="00246535"/>
    <w:rsid w:val="00251A23"/>
    <w:rsid w:val="00257F60"/>
    <w:rsid w:val="002625EA"/>
    <w:rsid w:val="00262AC5"/>
    <w:rsid w:val="00264AE9"/>
    <w:rsid w:val="00274525"/>
    <w:rsid w:val="00275AE6"/>
    <w:rsid w:val="002836D8"/>
    <w:rsid w:val="002A7989"/>
    <w:rsid w:val="002B02F3"/>
    <w:rsid w:val="002C135D"/>
    <w:rsid w:val="002C1A09"/>
    <w:rsid w:val="002C341F"/>
    <w:rsid w:val="002C3463"/>
    <w:rsid w:val="002D0183"/>
    <w:rsid w:val="002D1430"/>
    <w:rsid w:val="002D266D"/>
    <w:rsid w:val="002D5299"/>
    <w:rsid w:val="002D5B3D"/>
    <w:rsid w:val="002D7447"/>
    <w:rsid w:val="002E315A"/>
    <w:rsid w:val="002E4E5B"/>
    <w:rsid w:val="002E4F8C"/>
    <w:rsid w:val="002F560C"/>
    <w:rsid w:val="002F5847"/>
    <w:rsid w:val="002F6D9F"/>
    <w:rsid w:val="002F7A44"/>
    <w:rsid w:val="0030425A"/>
    <w:rsid w:val="00313F24"/>
    <w:rsid w:val="003244D6"/>
    <w:rsid w:val="003421F1"/>
    <w:rsid w:val="0034279C"/>
    <w:rsid w:val="00354F64"/>
    <w:rsid w:val="003559A1"/>
    <w:rsid w:val="00361563"/>
    <w:rsid w:val="00371D36"/>
    <w:rsid w:val="00373E17"/>
    <w:rsid w:val="003775E6"/>
    <w:rsid w:val="00381998"/>
    <w:rsid w:val="0039210C"/>
    <w:rsid w:val="003A5F1C"/>
    <w:rsid w:val="003B3DEE"/>
    <w:rsid w:val="003C3E2E"/>
    <w:rsid w:val="003C60AA"/>
    <w:rsid w:val="003D4A3C"/>
    <w:rsid w:val="003D55B2"/>
    <w:rsid w:val="003E0033"/>
    <w:rsid w:val="003E5452"/>
    <w:rsid w:val="003E7165"/>
    <w:rsid w:val="003E7FF6"/>
    <w:rsid w:val="004046B5"/>
    <w:rsid w:val="00406F27"/>
    <w:rsid w:val="004141B8"/>
    <w:rsid w:val="00415C91"/>
    <w:rsid w:val="004203B9"/>
    <w:rsid w:val="00432135"/>
    <w:rsid w:val="00433340"/>
    <w:rsid w:val="00446987"/>
    <w:rsid w:val="00446D28"/>
    <w:rsid w:val="00464C8E"/>
    <w:rsid w:val="00466CD0"/>
    <w:rsid w:val="00473583"/>
    <w:rsid w:val="00477F32"/>
    <w:rsid w:val="00481850"/>
    <w:rsid w:val="0048307E"/>
    <w:rsid w:val="004851A0"/>
    <w:rsid w:val="0048627F"/>
    <w:rsid w:val="00490555"/>
    <w:rsid w:val="004932AB"/>
    <w:rsid w:val="00494BEF"/>
    <w:rsid w:val="004A239F"/>
    <w:rsid w:val="004A5512"/>
    <w:rsid w:val="004A6BE5"/>
    <w:rsid w:val="004B0C18"/>
    <w:rsid w:val="004C1A04"/>
    <w:rsid w:val="004C20BC"/>
    <w:rsid w:val="004C5C9A"/>
    <w:rsid w:val="004D0A12"/>
    <w:rsid w:val="004D1442"/>
    <w:rsid w:val="004D3DCB"/>
    <w:rsid w:val="004E1946"/>
    <w:rsid w:val="004E66E9"/>
    <w:rsid w:val="004E7DDE"/>
    <w:rsid w:val="004F0090"/>
    <w:rsid w:val="004F172C"/>
    <w:rsid w:val="004F617B"/>
    <w:rsid w:val="005002ED"/>
    <w:rsid w:val="00500DBC"/>
    <w:rsid w:val="005102BE"/>
    <w:rsid w:val="00523F7F"/>
    <w:rsid w:val="00524D54"/>
    <w:rsid w:val="00532A59"/>
    <w:rsid w:val="00536CB6"/>
    <w:rsid w:val="0054531B"/>
    <w:rsid w:val="00546C24"/>
    <w:rsid w:val="005476FF"/>
    <w:rsid w:val="005516F6"/>
    <w:rsid w:val="00552842"/>
    <w:rsid w:val="00554E89"/>
    <w:rsid w:val="0056480F"/>
    <w:rsid w:val="00564B58"/>
    <w:rsid w:val="00564F2A"/>
    <w:rsid w:val="00572281"/>
    <w:rsid w:val="005801DD"/>
    <w:rsid w:val="00592A40"/>
    <w:rsid w:val="005A088C"/>
    <w:rsid w:val="005A28BC"/>
    <w:rsid w:val="005A5377"/>
    <w:rsid w:val="005B7817"/>
    <w:rsid w:val="005C06C8"/>
    <w:rsid w:val="005C23D7"/>
    <w:rsid w:val="005C40EB"/>
    <w:rsid w:val="005D02B4"/>
    <w:rsid w:val="005D1E04"/>
    <w:rsid w:val="005D3013"/>
    <w:rsid w:val="005E1E50"/>
    <w:rsid w:val="005E2B9C"/>
    <w:rsid w:val="005E3332"/>
    <w:rsid w:val="005E6089"/>
    <w:rsid w:val="005F76B0"/>
    <w:rsid w:val="006041E3"/>
    <w:rsid w:val="00604429"/>
    <w:rsid w:val="006067B0"/>
    <w:rsid w:val="00606A8B"/>
    <w:rsid w:val="00611EBA"/>
    <w:rsid w:val="006213A8"/>
    <w:rsid w:val="00623BEA"/>
    <w:rsid w:val="006347E9"/>
    <w:rsid w:val="00634EB2"/>
    <w:rsid w:val="00640C87"/>
    <w:rsid w:val="006454BB"/>
    <w:rsid w:val="00655924"/>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256"/>
    <w:rsid w:val="006E353F"/>
    <w:rsid w:val="006E35AB"/>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44B6"/>
    <w:rsid w:val="007C5458"/>
    <w:rsid w:val="007D2C67"/>
    <w:rsid w:val="007E06BB"/>
    <w:rsid w:val="007E6422"/>
    <w:rsid w:val="007F50D1"/>
    <w:rsid w:val="008010AA"/>
    <w:rsid w:val="00816D52"/>
    <w:rsid w:val="00831048"/>
    <w:rsid w:val="00834272"/>
    <w:rsid w:val="008625C1"/>
    <w:rsid w:val="0087671D"/>
    <w:rsid w:val="008806F9"/>
    <w:rsid w:val="00887957"/>
    <w:rsid w:val="008A57E3"/>
    <w:rsid w:val="008A7358"/>
    <w:rsid w:val="008B5BF4"/>
    <w:rsid w:val="008B6FB0"/>
    <w:rsid w:val="008C0CEE"/>
    <w:rsid w:val="008C1B18"/>
    <w:rsid w:val="008D2CE3"/>
    <w:rsid w:val="008D46EC"/>
    <w:rsid w:val="008E0E25"/>
    <w:rsid w:val="008E5ACD"/>
    <w:rsid w:val="008E61A1"/>
    <w:rsid w:val="009031EF"/>
    <w:rsid w:val="0091007E"/>
    <w:rsid w:val="009167FC"/>
    <w:rsid w:val="00917EA3"/>
    <w:rsid w:val="00917EE0"/>
    <w:rsid w:val="00921C89"/>
    <w:rsid w:val="00926966"/>
    <w:rsid w:val="00926D03"/>
    <w:rsid w:val="00934036"/>
    <w:rsid w:val="00934889"/>
    <w:rsid w:val="00936805"/>
    <w:rsid w:val="0094541D"/>
    <w:rsid w:val="009473EA"/>
    <w:rsid w:val="00954918"/>
    <w:rsid w:val="00954E7E"/>
    <w:rsid w:val="009554D9"/>
    <w:rsid w:val="009572F9"/>
    <w:rsid w:val="00960D0F"/>
    <w:rsid w:val="00973F4F"/>
    <w:rsid w:val="0098366F"/>
    <w:rsid w:val="00983A03"/>
    <w:rsid w:val="00986063"/>
    <w:rsid w:val="009905B7"/>
    <w:rsid w:val="00991F67"/>
    <w:rsid w:val="00992876"/>
    <w:rsid w:val="009A0DCE"/>
    <w:rsid w:val="009A22CD"/>
    <w:rsid w:val="009A3E4B"/>
    <w:rsid w:val="009A7636"/>
    <w:rsid w:val="009B35FD"/>
    <w:rsid w:val="009B6815"/>
    <w:rsid w:val="009D2967"/>
    <w:rsid w:val="009D3C2B"/>
    <w:rsid w:val="009E4191"/>
    <w:rsid w:val="009E675D"/>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2988"/>
    <w:rsid w:val="00AA7824"/>
    <w:rsid w:val="00AB0FA3"/>
    <w:rsid w:val="00AB3604"/>
    <w:rsid w:val="00AB73BF"/>
    <w:rsid w:val="00AC335C"/>
    <w:rsid w:val="00AC463E"/>
    <w:rsid w:val="00AD2130"/>
    <w:rsid w:val="00AD3BE2"/>
    <w:rsid w:val="00AD3E3D"/>
    <w:rsid w:val="00AE1EE4"/>
    <w:rsid w:val="00AE36EC"/>
    <w:rsid w:val="00AE7406"/>
    <w:rsid w:val="00AF1688"/>
    <w:rsid w:val="00AF46E6"/>
    <w:rsid w:val="00AF5139"/>
    <w:rsid w:val="00B06EDA"/>
    <w:rsid w:val="00B1161F"/>
    <w:rsid w:val="00B11661"/>
    <w:rsid w:val="00B32B4D"/>
    <w:rsid w:val="00B342D1"/>
    <w:rsid w:val="00B4137E"/>
    <w:rsid w:val="00B54DF7"/>
    <w:rsid w:val="00B56223"/>
    <w:rsid w:val="00B56E79"/>
    <w:rsid w:val="00B57AA7"/>
    <w:rsid w:val="00B6362D"/>
    <w:rsid w:val="00B637AA"/>
    <w:rsid w:val="00B63BE2"/>
    <w:rsid w:val="00B7592C"/>
    <w:rsid w:val="00B809D3"/>
    <w:rsid w:val="00B84B66"/>
    <w:rsid w:val="00B85475"/>
    <w:rsid w:val="00B9090A"/>
    <w:rsid w:val="00B92196"/>
    <w:rsid w:val="00B9228D"/>
    <w:rsid w:val="00B929EC"/>
    <w:rsid w:val="00BA7610"/>
    <w:rsid w:val="00BB0725"/>
    <w:rsid w:val="00BC408A"/>
    <w:rsid w:val="00BC5023"/>
    <w:rsid w:val="00BC556C"/>
    <w:rsid w:val="00BD42DA"/>
    <w:rsid w:val="00BD4684"/>
    <w:rsid w:val="00BE08A7"/>
    <w:rsid w:val="00BE4391"/>
    <w:rsid w:val="00BF3E48"/>
    <w:rsid w:val="00C15F1B"/>
    <w:rsid w:val="00C16288"/>
    <w:rsid w:val="00C17D1D"/>
    <w:rsid w:val="00C23B38"/>
    <w:rsid w:val="00C32AA7"/>
    <w:rsid w:val="00C4017D"/>
    <w:rsid w:val="00C45923"/>
    <w:rsid w:val="00C543E7"/>
    <w:rsid w:val="00C70225"/>
    <w:rsid w:val="00C70A5C"/>
    <w:rsid w:val="00C72198"/>
    <w:rsid w:val="00C72654"/>
    <w:rsid w:val="00C73C7D"/>
    <w:rsid w:val="00C75005"/>
    <w:rsid w:val="00C970DF"/>
    <w:rsid w:val="00CA7E71"/>
    <w:rsid w:val="00CB2673"/>
    <w:rsid w:val="00CB701D"/>
    <w:rsid w:val="00CC3F0E"/>
    <w:rsid w:val="00CD08C9"/>
    <w:rsid w:val="00CD1FE8"/>
    <w:rsid w:val="00CD38CD"/>
    <w:rsid w:val="00CD3DFC"/>
    <w:rsid w:val="00CD3E0C"/>
    <w:rsid w:val="00CD5565"/>
    <w:rsid w:val="00CD616C"/>
    <w:rsid w:val="00CE653C"/>
    <w:rsid w:val="00CF36EC"/>
    <w:rsid w:val="00CF68D6"/>
    <w:rsid w:val="00CF7B4A"/>
    <w:rsid w:val="00D009F8"/>
    <w:rsid w:val="00D078DA"/>
    <w:rsid w:val="00D14995"/>
    <w:rsid w:val="00D204F2"/>
    <w:rsid w:val="00D2455C"/>
    <w:rsid w:val="00D25023"/>
    <w:rsid w:val="00D27F8C"/>
    <w:rsid w:val="00D33843"/>
    <w:rsid w:val="00D36466"/>
    <w:rsid w:val="00D54A6F"/>
    <w:rsid w:val="00D57D57"/>
    <w:rsid w:val="00D62E42"/>
    <w:rsid w:val="00D772FB"/>
    <w:rsid w:val="00DA1AA0"/>
    <w:rsid w:val="00DA1AE7"/>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629B"/>
    <w:rsid w:val="00E52A36"/>
    <w:rsid w:val="00E6378B"/>
    <w:rsid w:val="00E63EC3"/>
    <w:rsid w:val="00E653DA"/>
    <w:rsid w:val="00E65958"/>
    <w:rsid w:val="00E66244"/>
    <w:rsid w:val="00E84FE5"/>
    <w:rsid w:val="00E879A5"/>
    <w:rsid w:val="00E879FC"/>
    <w:rsid w:val="00EA082B"/>
    <w:rsid w:val="00EA2574"/>
    <w:rsid w:val="00EA2F1F"/>
    <w:rsid w:val="00EA3F2E"/>
    <w:rsid w:val="00EA57EC"/>
    <w:rsid w:val="00EA6208"/>
    <w:rsid w:val="00EB120E"/>
    <w:rsid w:val="00EB34C8"/>
    <w:rsid w:val="00EB46E2"/>
    <w:rsid w:val="00EC0045"/>
    <w:rsid w:val="00ED452E"/>
    <w:rsid w:val="00EE3CDA"/>
    <w:rsid w:val="00EF37A8"/>
    <w:rsid w:val="00EF531F"/>
    <w:rsid w:val="00EF7366"/>
    <w:rsid w:val="00F05FE8"/>
    <w:rsid w:val="00F06D86"/>
    <w:rsid w:val="00F13D87"/>
    <w:rsid w:val="00F149E5"/>
    <w:rsid w:val="00F15E33"/>
    <w:rsid w:val="00F16143"/>
    <w:rsid w:val="00F17DA2"/>
    <w:rsid w:val="00F22EC0"/>
    <w:rsid w:val="00F25C47"/>
    <w:rsid w:val="00F27D7B"/>
    <w:rsid w:val="00F30F8B"/>
    <w:rsid w:val="00F31D34"/>
    <w:rsid w:val="00F342A1"/>
    <w:rsid w:val="00F36FBA"/>
    <w:rsid w:val="00F44D36"/>
    <w:rsid w:val="00F46262"/>
    <w:rsid w:val="00F4795D"/>
    <w:rsid w:val="00F50A61"/>
    <w:rsid w:val="00F51979"/>
    <w:rsid w:val="00F525CD"/>
    <w:rsid w:val="00F5286C"/>
    <w:rsid w:val="00F52E12"/>
    <w:rsid w:val="00F638CA"/>
    <w:rsid w:val="00F6567B"/>
    <w:rsid w:val="00F657C5"/>
    <w:rsid w:val="00F71DE1"/>
    <w:rsid w:val="00F7273B"/>
    <w:rsid w:val="00F900B4"/>
    <w:rsid w:val="00F93A81"/>
    <w:rsid w:val="00FA0F2E"/>
    <w:rsid w:val="00FA4DB1"/>
    <w:rsid w:val="00FB3F2A"/>
    <w:rsid w:val="00FC178D"/>
    <w:rsid w:val="00FC3593"/>
    <w:rsid w:val="00FD117D"/>
    <w:rsid w:val="00FD463E"/>
    <w:rsid w:val="00FD668C"/>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9A79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17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F617B"/>
    <w:rPr>
      <w:rFonts w:ascii="Times New Roman" w:hAnsi="Times New Roman"/>
      <w:b w:val="0"/>
      <w:i w:val="0"/>
      <w:sz w:val="22"/>
    </w:rPr>
  </w:style>
  <w:style w:type="paragraph" w:styleId="NoSpacing">
    <w:name w:val="No Spacing"/>
    <w:uiPriority w:val="1"/>
    <w:qFormat/>
    <w:rsid w:val="004F617B"/>
    <w:pPr>
      <w:spacing w:after="0" w:line="240" w:lineRule="auto"/>
    </w:pPr>
  </w:style>
  <w:style w:type="paragraph" w:customStyle="1" w:styleId="scemptylineheader">
    <w:name w:val="sc_emptyline_header"/>
    <w:qFormat/>
    <w:rsid w:val="004F617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F617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F617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F617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F61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F6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F617B"/>
    <w:rPr>
      <w:color w:val="808080"/>
    </w:rPr>
  </w:style>
  <w:style w:type="paragraph" w:customStyle="1" w:styleId="scdirectionallanguage">
    <w:name w:val="sc_directional_language"/>
    <w:qFormat/>
    <w:rsid w:val="004F61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F6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F617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F617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F617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F617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F61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F617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F617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F61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F61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F617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F617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F61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F617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F617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F617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F617B"/>
    <w:rPr>
      <w:rFonts w:ascii="Times New Roman" w:hAnsi="Times New Roman"/>
      <w:color w:val="auto"/>
      <w:sz w:val="22"/>
    </w:rPr>
  </w:style>
  <w:style w:type="paragraph" w:customStyle="1" w:styleId="scclippagebillheader">
    <w:name w:val="sc_clip_page_bill_header"/>
    <w:qFormat/>
    <w:rsid w:val="004F61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F617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F617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F6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17B"/>
    <w:rPr>
      <w:lang w:val="en-US"/>
    </w:rPr>
  </w:style>
  <w:style w:type="paragraph" w:styleId="Footer">
    <w:name w:val="footer"/>
    <w:basedOn w:val="Normal"/>
    <w:link w:val="FooterChar"/>
    <w:uiPriority w:val="99"/>
    <w:unhideWhenUsed/>
    <w:rsid w:val="004F6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17B"/>
    <w:rPr>
      <w:lang w:val="en-US"/>
    </w:rPr>
  </w:style>
  <w:style w:type="paragraph" w:styleId="ListParagraph">
    <w:name w:val="List Paragraph"/>
    <w:basedOn w:val="Normal"/>
    <w:uiPriority w:val="34"/>
    <w:qFormat/>
    <w:rsid w:val="004F617B"/>
    <w:pPr>
      <w:ind w:left="720"/>
      <w:contextualSpacing/>
    </w:pPr>
  </w:style>
  <w:style w:type="paragraph" w:customStyle="1" w:styleId="scbillfooter">
    <w:name w:val="sc_bill_footer"/>
    <w:qFormat/>
    <w:rsid w:val="004F617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F6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F617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F617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F6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F6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F6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F6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F6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F617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F6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F617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F6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F617B"/>
    <w:pPr>
      <w:widowControl w:val="0"/>
      <w:suppressAutoHyphens/>
      <w:spacing w:after="0" w:line="360" w:lineRule="auto"/>
    </w:pPr>
    <w:rPr>
      <w:rFonts w:ascii="Times New Roman" w:hAnsi="Times New Roman"/>
      <w:lang w:val="en-US"/>
    </w:rPr>
  </w:style>
  <w:style w:type="paragraph" w:customStyle="1" w:styleId="sctableln">
    <w:name w:val="sc_table_ln"/>
    <w:qFormat/>
    <w:rsid w:val="004F617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F617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F617B"/>
    <w:rPr>
      <w:strike/>
      <w:dstrike w:val="0"/>
    </w:rPr>
  </w:style>
  <w:style w:type="character" w:customStyle="1" w:styleId="scinsert">
    <w:name w:val="sc_insert"/>
    <w:uiPriority w:val="1"/>
    <w:qFormat/>
    <w:rsid w:val="004F617B"/>
    <w:rPr>
      <w:caps w:val="0"/>
      <w:smallCaps w:val="0"/>
      <w:strike w:val="0"/>
      <w:dstrike w:val="0"/>
      <w:vanish w:val="0"/>
      <w:u w:val="single"/>
      <w:vertAlign w:val="baseline"/>
    </w:rPr>
  </w:style>
  <w:style w:type="character" w:customStyle="1" w:styleId="scinsertred">
    <w:name w:val="sc_insert_red"/>
    <w:uiPriority w:val="1"/>
    <w:qFormat/>
    <w:rsid w:val="004F617B"/>
    <w:rPr>
      <w:caps w:val="0"/>
      <w:smallCaps w:val="0"/>
      <w:strike w:val="0"/>
      <w:dstrike w:val="0"/>
      <w:vanish w:val="0"/>
      <w:color w:val="FF0000"/>
      <w:u w:val="single"/>
      <w:vertAlign w:val="baseline"/>
    </w:rPr>
  </w:style>
  <w:style w:type="character" w:customStyle="1" w:styleId="scinsertblue">
    <w:name w:val="sc_insert_blue"/>
    <w:uiPriority w:val="1"/>
    <w:qFormat/>
    <w:rsid w:val="004F617B"/>
    <w:rPr>
      <w:caps w:val="0"/>
      <w:smallCaps w:val="0"/>
      <w:strike w:val="0"/>
      <w:dstrike w:val="0"/>
      <w:vanish w:val="0"/>
      <w:color w:val="0070C0"/>
      <w:u w:val="single"/>
      <w:vertAlign w:val="baseline"/>
    </w:rPr>
  </w:style>
  <w:style w:type="character" w:customStyle="1" w:styleId="scstrikered">
    <w:name w:val="sc_strike_red"/>
    <w:uiPriority w:val="1"/>
    <w:qFormat/>
    <w:rsid w:val="004F617B"/>
    <w:rPr>
      <w:strike/>
      <w:dstrike w:val="0"/>
      <w:color w:val="FF0000"/>
    </w:rPr>
  </w:style>
  <w:style w:type="character" w:customStyle="1" w:styleId="scstrikeblue">
    <w:name w:val="sc_strike_blue"/>
    <w:uiPriority w:val="1"/>
    <w:qFormat/>
    <w:rsid w:val="004F617B"/>
    <w:rPr>
      <w:strike/>
      <w:dstrike w:val="0"/>
      <w:color w:val="0070C0"/>
    </w:rPr>
  </w:style>
  <w:style w:type="character" w:customStyle="1" w:styleId="scinsertbluenounderline">
    <w:name w:val="sc_insert_blue_no_underline"/>
    <w:uiPriority w:val="1"/>
    <w:qFormat/>
    <w:rsid w:val="004F617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F617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F617B"/>
    <w:rPr>
      <w:strike/>
      <w:dstrike w:val="0"/>
      <w:color w:val="0070C0"/>
      <w:lang w:val="en-US"/>
    </w:rPr>
  </w:style>
  <w:style w:type="character" w:customStyle="1" w:styleId="scstrikerednoncodified">
    <w:name w:val="sc_strike_red_non_codified"/>
    <w:uiPriority w:val="1"/>
    <w:qFormat/>
    <w:rsid w:val="004F617B"/>
    <w:rPr>
      <w:strike/>
      <w:dstrike w:val="0"/>
      <w:color w:val="FF0000"/>
    </w:rPr>
  </w:style>
  <w:style w:type="paragraph" w:customStyle="1" w:styleId="scbillsiglines">
    <w:name w:val="sc_bill_sig_lines"/>
    <w:qFormat/>
    <w:rsid w:val="004F617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F617B"/>
    <w:rPr>
      <w:bdr w:val="none" w:sz="0" w:space="0" w:color="auto"/>
      <w:shd w:val="clear" w:color="auto" w:fill="FEC6C6"/>
    </w:rPr>
  </w:style>
  <w:style w:type="character" w:customStyle="1" w:styleId="screstoreblue">
    <w:name w:val="sc_restore_blue"/>
    <w:uiPriority w:val="1"/>
    <w:qFormat/>
    <w:rsid w:val="004F617B"/>
    <w:rPr>
      <w:color w:val="4472C4" w:themeColor="accent1"/>
      <w:bdr w:val="none" w:sz="0" w:space="0" w:color="auto"/>
      <w:shd w:val="clear" w:color="auto" w:fill="auto"/>
    </w:rPr>
  </w:style>
  <w:style w:type="character" w:customStyle="1" w:styleId="screstorered">
    <w:name w:val="sc_restore_red"/>
    <w:uiPriority w:val="1"/>
    <w:qFormat/>
    <w:rsid w:val="004F617B"/>
    <w:rPr>
      <w:color w:val="FF0000"/>
      <w:bdr w:val="none" w:sz="0" w:space="0" w:color="auto"/>
      <w:shd w:val="clear" w:color="auto" w:fill="auto"/>
    </w:rPr>
  </w:style>
  <w:style w:type="character" w:customStyle="1" w:styleId="scstrikenewblue">
    <w:name w:val="sc_strike_new_blue"/>
    <w:uiPriority w:val="1"/>
    <w:qFormat/>
    <w:rsid w:val="004F617B"/>
    <w:rPr>
      <w:strike w:val="0"/>
      <w:dstrike/>
      <w:color w:val="0070C0"/>
      <w:u w:val="none"/>
    </w:rPr>
  </w:style>
  <w:style w:type="character" w:customStyle="1" w:styleId="scstrikenewred">
    <w:name w:val="sc_strike_new_red"/>
    <w:uiPriority w:val="1"/>
    <w:qFormat/>
    <w:rsid w:val="004F617B"/>
    <w:rPr>
      <w:strike w:val="0"/>
      <w:dstrike/>
      <w:color w:val="FF0000"/>
      <w:u w:val="none"/>
    </w:rPr>
  </w:style>
  <w:style w:type="character" w:customStyle="1" w:styleId="scamendsenate">
    <w:name w:val="sc_amend_senate"/>
    <w:uiPriority w:val="1"/>
    <w:qFormat/>
    <w:rsid w:val="004F617B"/>
    <w:rPr>
      <w:bdr w:val="none" w:sz="0" w:space="0" w:color="auto"/>
      <w:shd w:val="clear" w:color="auto" w:fill="FFF2CC" w:themeFill="accent4" w:themeFillTint="33"/>
    </w:rPr>
  </w:style>
  <w:style w:type="character" w:customStyle="1" w:styleId="scamendhouse">
    <w:name w:val="sc_amend_house"/>
    <w:uiPriority w:val="1"/>
    <w:qFormat/>
    <w:rsid w:val="004F617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33&amp;session=126&amp;summary=B" TargetMode="External" Id="Ra04bf8b230424177" /><Relationship Type="http://schemas.openxmlformats.org/officeDocument/2006/relationships/hyperlink" Target="https://www.scstatehouse.gov/sess126_2025-2026/prever/4733_20251217.docx" TargetMode="External" Id="R09035aa2de2643e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B3DEE"/>
    <w:rsid w:val="003E4FBC"/>
    <w:rsid w:val="003F4940"/>
    <w:rsid w:val="004E2BB5"/>
    <w:rsid w:val="00580C56"/>
    <w:rsid w:val="006041E3"/>
    <w:rsid w:val="00634EB2"/>
    <w:rsid w:val="006B363F"/>
    <w:rsid w:val="007070D2"/>
    <w:rsid w:val="00730C87"/>
    <w:rsid w:val="00776F2C"/>
    <w:rsid w:val="007C44B6"/>
    <w:rsid w:val="008F7723"/>
    <w:rsid w:val="009031EF"/>
    <w:rsid w:val="00912A5F"/>
    <w:rsid w:val="009167FC"/>
    <w:rsid w:val="00940EED"/>
    <w:rsid w:val="00954918"/>
    <w:rsid w:val="00985255"/>
    <w:rsid w:val="009C3651"/>
    <w:rsid w:val="00A51DBA"/>
    <w:rsid w:val="00B20DA6"/>
    <w:rsid w:val="00B457AF"/>
    <w:rsid w:val="00BF56C3"/>
    <w:rsid w:val="00C4017D"/>
    <w:rsid w:val="00C70A5C"/>
    <w:rsid w:val="00C818FB"/>
    <w:rsid w:val="00CC0451"/>
    <w:rsid w:val="00CF36EC"/>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25e983ff-790a-45fc-8b85-463a724b573d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2025-11-10T15:03:47.857927-05:00</T_BILL_DT_VERSION>
  <T_BILL_D_PREFILEDATE>2025-12-16</T_BILL_D_PREFILEDATE>
  <T_BILL_N_INTERNALVERSIONNUMBER>1</T_BILL_N_INTERNALVERSIONNUMBER>
  <T_BILL_N_SESSION>126</T_BILL_N_SESSION>
  <T_BILL_N_VERSIONNUMBER>1</T_BILL_N_VERSIONNUMBER>
  <T_BILL_N_YEAR>2026</T_BILL_N_YEAR>
  <T_BILL_REQUEST_REQUEST>6b3ec6f5-d5a0-456e-8ad6-7076f7b9e73d</T_BILL_REQUEST_REQUEST>
  <T_BILL_R_ORIGINALDRAFT>80f89e8a-5e0c-42a1-a029-afa103eb3135</T_BILL_R_ORIGINALDRAFT>
  <T_BILL_SPONSOR_SPONSOR>1868a25f-1f8a-42ed-b076-82822da164b1</T_BILL_SPONSOR_SPONSOR>
  <T_BILL_T_BILLNAME>[4733]</T_BILL_T_BILLNAME>
  <T_BILL_T_BILLNUMBER>4733</T_BILL_T_BILLNUMBER>
  <T_BILL_T_BILLTITLE>TO AMEND THE SOUTH CAROLINA CODE OF LAWS BY ENACTING THE “BAD FAITH PRESUMPTION IN INSURANCE SETTLEMENT OFFER ACT” BY ADDING SECTION 38‑59‑60 SO AS TO PROVIDE A REBUTTABLE PRESUMPTION OF BAD FAITH BY AN INSURER IN CERTAIN CIRCUMSTANCES INVOLVING INSURANCE SETTLEMENT AGREEMENTS, TO DEFINE NECESSARY TERMS, TO PROVIDE THE PRESUMPTION IS REBUTTABLE, AND TO PROVIDE THE ADMISSIBILITY OF SETTLEMENT AGREEMENTS IN SUBSEQUENT BAD FAITH ACTIONS, AMONG OTHER THINGS.</T_BILL_T_BILLTITLE>
  <T_BILL_T_CHAMBER>house</T_BILL_T_CHAMBER>
  <T_BILL_T_FILENAME> </T_BILL_T_FILENAME>
  <T_BILL_T_LEGTYPE>bill_statewide</T_BILL_T_LEGTYPE>
  <T_BILL_T_RATNUMBERSTRING>HNone</T_BILL_T_RATNUMBERSTRING>
  <T_BILL_T_SECTIONS>[{"SectionUUID":"99d22e0a-b83a-4bcb-bd23-3e9d60fbb3c7","SectionName":"Citing an Act","SectionNumber":1,"SectionType":"new","CodeSections":[],"TitleText":"by enacting the “Bad Faith Presumption in Insurance Settlement Offer Act” by adding section 38-59-60 so as to provide a rebuttable presumption of bad faith by an insurer in certain circumstances involving insurance settlement agreements, to define necessary terms, to provide the presumption is rebuttable, and to provide the admissibility of settlement agreements in subsequent bad faith actions, among other things","DisableControls":false,"Deleted":false,"RepealItems":[],"SectionBookmarkName":"bs_num_1_84303b85d"},{"SectionUUID":"989ca182-7352-4026-91b3-84bd8220def3","SectionName":"code_section","SectionNumber":2,"SectionType":"code_section","CodeSections":[{"CodeSectionBookmarkName":"ns_T38C59N60_4cbbabb11","IsConstitutionSection":false,"Identity":"38-59-60","IsNew":true,"SubSections":[{"Level":1,"Identity":"T38C59N60SA","SubSectionBookmarkName":"ss_T38C59N60SA_lv1_e193820d6","IsNewSubSection":false,"SubSectionReplacement":""},{"Level":2,"Identity":"T38C59N60S1","SubSectionBookmarkName":"ss_T38C59N60S1_lv2_b129b3a5a","IsNewSubSection":false,"SubSectionReplacement":""},{"Level":2,"Identity":"T38C59N60S2","SubSectionBookmarkName":"ss_T38C59N60S2_lv2_fc95c6b81","IsNewSubSection":false,"SubSectionReplacement":""},{"Level":2,"Identity":"T38C59N60S3","SubSectionBookmarkName":"ss_T38C59N60S3_lv2_ef1494d50","IsNewSubSection":false,"SubSectionReplacement":""},{"Level":2,"Identity":"T38C59N60S4","SubSectionBookmarkName":"ss_T38C59N60S4_lv2_f0e475af5","IsNewSubSection":false,"SubSectionReplacement":""},{"Level":2,"Identity":"T38C59N60S5","SubSectionBookmarkName":"ss_T38C59N60S5_lv2_f51bbfd3d","IsNewSubSection":false,"SubSectionReplacement":""},{"Level":2,"Identity":"T38C59N60S6","SubSectionBookmarkName":"ss_T38C59N60S6_lv2_c11b0f672","IsNewSubSection":false,"SubSectionReplacement":""},{"Level":1,"Identity":"T38C59N60SB","SubSectionBookmarkName":"ss_T38C59N60SB_lv1_3d57cf4a8","IsNewSubSection":false,"SubSectionReplacement":""},{"Level":2,"Identity":"T38C59N60S1","SubSectionBookmarkName":"ss_T38C59N60S1_lv2_931693150","IsNewSubSection":false,"SubSectionReplacement":""},{"Level":3,"Identity":"T38C59N60Sa","SubSectionBookmarkName":"ss_T38C59N60Sa_lv3_63330fc96","IsNewSubSection":false,"SubSectionReplacement":""},{"Level":3,"Identity":"T38C59N60Sb","SubSectionBookmarkName":"ss_T38C59N60Sb_lv3_8853c8c35","IsNewSubSection":false,"SubSectionReplacement":""},{"Level":3,"Identity":"T38C59N60Sc","SubSectionBookmarkName":"ss_T38C59N60Sc_lv3_b0f150fdd","IsNewSubSection":false,"SubSectionReplacement":""},{"Level":2,"Identity":"T38C59N60S2","SubSectionBookmarkName":"ss_T38C59N60S2_lv2_6b2dc5bcd","IsNewSubSection":false,"SubSectionReplacement":""},{"Level":3,"Identity":"T38C59N60Sa","SubSectionBookmarkName":"ss_T38C59N60Sa_lv3_5d6534981","IsNewSubSection":false,"SubSectionReplacement":""},{"Level":3,"Identity":"T38C59N60Sb","SubSectionBookmarkName":"ss_T38C59N60Sb_lv3_f8aeaf8ee","IsNewSubSection":false,"SubSectionReplacement":""},{"Level":3,"Identity":"T38C59N60Sc","SubSectionBookmarkName":"ss_T38C59N60Sc_lv3_09db1e974","IsNewSubSection":false,"SubSectionReplacement":""},{"Level":2,"Identity":"T38C59N60S3","SubSectionBookmarkName":"ss_T38C59N60S3_lv2_4158eff24","IsNewSubSection":false,"SubSectionReplacement":""},{"Level":1,"Identity":"T38C59N60SC","SubSectionBookmarkName":"ss_T38C59N60SC_lv1_37292dde1","IsNewSubSection":false,"SubSectionReplacement":""},{"Level":1,"Identity":"T38C59N60SD","SubSectionBookmarkName":"ss_T38C59N60SD_lv1_a269d6b72","IsNewSubSection":false,"SubSectionReplacement":""}],"TitleRelatedTo":"","TitleSoAsTo":"","Deleted":false,"IsStricken":false}],"TitleText":"","DisableControls":false,"Deleted":false,"RepealItems":[],"SectionBookmarkName":"bs_num_2_5f4a72ea8"},{"SectionUUID":"150a2771-14e8-49de-8590-f2cfae26e212","SectionName":"Severability","SectionNumber":3,"SectionType":"new","CodeSections":[],"TitleText":"","DisableControls":false,"Deleted":false,"RepealItems":[],"SectionBookmarkName":"bs_num_3_a5d4ddf4f"},{"SectionUUID":"8f03ca95-8faa-4d43-a9c2-8afc498075bd","SectionName":"standard_eff_date_section","SectionNumber":4,"SectionType":"drafting_clause","CodeSections":[],"TitleText":"","DisableControls":false,"Deleted":false,"RepealItems":[],"SectionBookmarkName":"bs_num_4_lastsection"}]</T_BILL_T_SECTIONS>
  <T_BILL_T_SUBJECT>Bad faith presumption in insurance settlements</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C51A1-DED9-4D4D-8570-630CA554F07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906</Words>
  <Characters>4951</Characters>
  <Application>Microsoft Office Word</Application>
  <DocSecurity>0</DocSecurity>
  <Lines>95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2025-11-21T16:31:00Z</cp:lastPrinted>
  <dcterms:created xsi:type="dcterms:W3CDTF">2025-12-15T19:01:00Z</dcterms:created>
  <dcterms:modified xsi:type="dcterms:W3CDTF">2025-12-15T19:01:00Z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