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Morgan, Edgerton, Kilmartin, Beach, Magnuson, Terribile, Cromer, Harris, Gilreath, Huff, Frank and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LC-0513DG26.docx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Ban litigation retention agreements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fd3fb27a86447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fee59409c84afe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5262B" w:rsidRDefault="00432135" w14:paraId="2C2BF4FF" w14:textId="6E5DD8FC">
      <w:pPr>
        <w:pStyle w:val="scemptylineheader"/>
      </w:pPr>
      <w:bookmarkStart w:name="open_doc_here" w:id="0"/>
      <w:bookmarkEnd w:id="0"/>
    </w:p>
    <w:p w:rsidRPr="00BB0725" w:rsidR="00A73EFA" w:rsidP="0055262B" w:rsidRDefault="00A73EFA" w14:paraId="2D62A890" w14:textId="215A3A2E">
      <w:pPr>
        <w:pStyle w:val="scemptylineheader"/>
      </w:pPr>
    </w:p>
    <w:p w:rsidRPr="00BB0725" w:rsidR="00A73EFA" w:rsidP="0055262B" w:rsidRDefault="00A73EFA" w14:paraId="3CE9728E" w14:textId="1D76A94A">
      <w:pPr>
        <w:pStyle w:val="scemptylineheader"/>
      </w:pPr>
    </w:p>
    <w:p w:rsidRPr="00DF3B44" w:rsidR="00A73EFA" w:rsidP="0055262B" w:rsidRDefault="00A73EFA" w14:paraId="62DC8E0C" w14:textId="6C4946A9">
      <w:pPr>
        <w:pStyle w:val="scemptylineheader"/>
      </w:pPr>
    </w:p>
    <w:p w:rsidRPr="00DF3B44" w:rsidR="00A73EFA" w:rsidP="0055262B" w:rsidRDefault="00A73EFA" w14:paraId="424241BE" w14:textId="5228A5DF">
      <w:pPr>
        <w:pStyle w:val="scemptylineheader"/>
      </w:pPr>
    </w:p>
    <w:p w:rsidRPr="00DF3B44" w:rsidR="00A73EFA" w:rsidP="0055262B" w:rsidRDefault="00A73EFA" w14:paraId="02E0F8A2" w14:textId="7C704C2D">
      <w:pPr>
        <w:pStyle w:val="scemptylineheader"/>
      </w:pPr>
    </w:p>
    <w:p w:rsidRPr="00DF3B44" w:rsidR="002C3463" w:rsidP="00037F04" w:rsidRDefault="002C3463" w14:paraId="0BAF13D4" w14:textId="77777777">
      <w:pPr>
        <w:pStyle w:val="scemptylineheader"/>
      </w:pPr>
    </w:p>
    <w:p w:rsidRPr="00DF3B44" w:rsidR="008E61A1" w:rsidP="00446987" w:rsidRDefault="008E61A1" w14:paraId="56986F9A" w14:textId="77777777">
      <w:pPr>
        <w:pStyle w:val="scemptylineheader"/>
      </w:pPr>
    </w:p>
    <w:p w:rsidRPr="00DF3B44" w:rsidR="002C3463" w:rsidP="00EB120E" w:rsidRDefault="002C3463" w14:paraId="30FE51A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278E9795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56C60" w14:paraId="2459FFE7" w14:textId="77761BB8">
          <w:pPr>
            <w:pStyle w:val="scbilltitle"/>
          </w:pPr>
          <w:r>
            <w:t>To AMEND THE South Carolina Code of Laws by adding Article 29 to Title 1, Chapter 1 so as to prohibit a law firm that employ</w:t>
          </w:r>
          <w:r w:rsidR="00232473">
            <w:t>s</w:t>
          </w:r>
          <w:r>
            <w:t xml:space="preserve"> a member of the General Assembly, or an immediate family member of a member of the General assembly, from entering into a litigation retention agreement with a public entity in this State.</w:t>
          </w:r>
        </w:p>
      </w:sdtContent>
    </w:sdt>
    <w:bookmarkStart w:name="at_a9a89abf4" w:displacedByCustomXml="prev" w:id="1"/>
    <w:bookmarkEnd w:id="1"/>
    <w:p w:rsidRPr="00DF3B44" w:rsidR="006C18F0" w:rsidP="006C18F0" w:rsidRDefault="006C18F0" w14:paraId="2BBB136A" w14:textId="77777777">
      <w:pPr>
        <w:pStyle w:val="scbillwhereasclause"/>
      </w:pPr>
    </w:p>
    <w:p w:rsidRPr="0094541D" w:rsidR="007E06BB" w:rsidP="0094541D" w:rsidRDefault="002C3463" w14:paraId="42E4A2D3" w14:textId="77777777">
      <w:pPr>
        <w:pStyle w:val="scenactingwords"/>
      </w:pPr>
      <w:bookmarkStart w:name="ew_2ab7a0411" w:id="2"/>
      <w:r w:rsidRPr="0094541D">
        <w:t>B</w:t>
      </w:r>
      <w:bookmarkEnd w:id="2"/>
      <w:r w:rsidRPr="0094541D">
        <w:t>e it enacted by the General Assembly of the State of South Carolina:</w:t>
      </w:r>
    </w:p>
    <w:p w:rsidR="00521B11" w:rsidRDefault="00521B11" w14:paraId="58473FE8" w14:textId="77777777">
      <w:pPr>
        <w:pStyle w:val="scemptyline"/>
      </w:pPr>
    </w:p>
    <w:p w:rsidR="00885585" w:rsidRDefault="00885585" w14:paraId="406B9D85" w14:textId="77777777">
      <w:pPr>
        <w:pStyle w:val="scdirectionallanguage"/>
      </w:pPr>
      <w:bookmarkStart w:name="bs_num_1_2dcd62a60" w:id="3"/>
      <w:r>
        <w:t>S</w:t>
      </w:r>
      <w:bookmarkEnd w:id="3"/>
      <w:r>
        <w:t>ECTION 1.</w:t>
      </w:r>
      <w:r>
        <w:tab/>
      </w:r>
      <w:bookmarkStart w:name="dl_d762fe506" w:id="4"/>
      <w:r>
        <w:t>C</w:t>
      </w:r>
      <w:bookmarkEnd w:id="4"/>
      <w:r>
        <w:t>hapter 1, Title 1 of the S.C. Code is amended by adding:</w:t>
      </w:r>
    </w:p>
    <w:p w:rsidR="00885585" w:rsidRDefault="00885585" w14:paraId="7B86C2EA" w14:textId="77777777">
      <w:pPr>
        <w:pStyle w:val="scnewcodesection"/>
      </w:pPr>
    </w:p>
    <w:p w:rsidR="00885585" w:rsidRDefault="00885585" w14:paraId="7BF095C6" w14:textId="77777777">
      <w:pPr>
        <w:pStyle w:val="scnewcodesection"/>
        <w:jc w:val="center"/>
      </w:pPr>
      <w:bookmarkStart w:name="up_75f00e027" w:id="5"/>
      <w:r>
        <w:t>A</w:t>
      </w:r>
      <w:bookmarkEnd w:id="5"/>
      <w:r>
        <w:t>rticle 29</w:t>
      </w:r>
    </w:p>
    <w:p w:rsidR="00885585" w:rsidRDefault="00885585" w14:paraId="57AEB60E" w14:textId="77777777">
      <w:pPr>
        <w:pStyle w:val="scnewcodesection"/>
      </w:pPr>
    </w:p>
    <w:p w:rsidR="00885585" w:rsidRDefault="00D937F7" w14:paraId="648B0AEE" w14:textId="783DBEF2">
      <w:pPr>
        <w:pStyle w:val="scnewcodesection"/>
        <w:jc w:val="center"/>
      </w:pPr>
      <w:bookmarkStart w:name="up_e1087d22b" w:id="6"/>
      <w:r>
        <w:t>S</w:t>
      </w:r>
      <w:bookmarkEnd w:id="6"/>
      <w:r>
        <w:t>tate Litigation Retention Agreements</w:t>
      </w:r>
    </w:p>
    <w:p w:rsidR="00885585" w:rsidRDefault="00885585" w14:paraId="452F301E" w14:textId="77777777">
      <w:pPr>
        <w:pStyle w:val="scnewcodesection"/>
      </w:pPr>
    </w:p>
    <w:p w:rsidR="00B7594D" w:rsidP="00B7594D" w:rsidRDefault="00885585" w14:paraId="32D8379D" w14:textId="03E6CAF1">
      <w:pPr>
        <w:pStyle w:val="scnewcodesection"/>
      </w:pPr>
      <w:r>
        <w:tab/>
      </w:r>
      <w:bookmarkStart w:name="ns_T1C1N1910_4e8a4f7f4" w:id="7"/>
      <w:r>
        <w:t>S</w:t>
      </w:r>
      <w:bookmarkEnd w:id="7"/>
      <w:r>
        <w:t>ection 1-1-1910.</w:t>
      </w:r>
      <w:r>
        <w:tab/>
      </w:r>
      <w:bookmarkStart w:name="ss_T1C1N1910SA_lv1_5b9789fc8" w:id="8"/>
      <w:r w:rsidR="00D937F7">
        <w:t>(</w:t>
      </w:r>
      <w:bookmarkEnd w:id="8"/>
      <w:r w:rsidR="00D937F7">
        <w:t xml:space="preserve">A) </w:t>
      </w:r>
      <w:r w:rsidR="00256C60">
        <w:t>No</w:t>
      </w:r>
      <w:r w:rsidR="00B7594D">
        <w:t xml:space="preserve"> </w:t>
      </w:r>
      <w:r w:rsidR="00D937F7">
        <w:t>public</w:t>
      </w:r>
      <w:r w:rsidR="00B7594D">
        <w:t xml:space="preserve"> entity </w:t>
      </w:r>
      <w:r w:rsidR="00D937F7">
        <w:t>in</w:t>
      </w:r>
      <w:r w:rsidR="00B7594D">
        <w:t xml:space="preserve"> this State may enter into, approve, renew, extend, or materially amend a litigation retention agreement with a covered law firm.</w:t>
      </w:r>
    </w:p>
    <w:p w:rsidR="00D937F7" w:rsidP="00B7594D" w:rsidRDefault="00D937F7" w14:paraId="27EFD2EB" w14:textId="717A10CD">
      <w:pPr>
        <w:pStyle w:val="scnewcodesection"/>
      </w:pPr>
      <w:r>
        <w:tab/>
      </w:r>
      <w:bookmarkStart w:name="ss_T1C1N1910SB_lv1_ee3706fde" w:id="9"/>
      <w:r>
        <w:t>(</w:t>
      </w:r>
      <w:bookmarkEnd w:id="9"/>
      <w:r>
        <w:t xml:space="preserve">B) </w:t>
      </w:r>
      <w:r w:rsidRPr="00D937F7">
        <w:t xml:space="preserve">This prohibition applies </w:t>
      </w:r>
      <w:r w:rsidR="00256C60">
        <w:t xml:space="preserve">during a member of the General Assembly’s tenure </w:t>
      </w:r>
      <w:r w:rsidRPr="00D937F7">
        <w:t xml:space="preserve">and for one year after </w:t>
      </w:r>
      <w:r w:rsidR="00232473">
        <w:t xml:space="preserve">the </w:t>
      </w:r>
      <w:r w:rsidRPr="00D937F7">
        <w:t xml:space="preserve">member </w:t>
      </w:r>
      <w:r w:rsidR="00256C60">
        <w:t>departs office</w:t>
      </w:r>
      <w:r>
        <w:t>.</w:t>
      </w:r>
    </w:p>
    <w:p w:rsidRPr="00D937F7" w:rsidR="00D937F7" w:rsidP="00D937F7" w:rsidRDefault="00D937F7" w14:paraId="1414F9D2" w14:textId="73F52927">
      <w:pPr>
        <w:pStyle w:val="scnewcodesection"/>
      </w:pPr>
      <w:r>
        <w:tab/>
      </w:r>
      <w:bookmarkStart w:name="ss_T1C1N1910SC_lv1_79b04163e" w:id="10"/>
      <w:r>
        <w:t>(</w:t>
      </w:r>
      <w:bookmarkEnd w:id="10"/>
      <w:r>
        <w:t xml:space="preserve">C) </w:t>
      </w:r>
      <w:r w:rsidR="00256C60">
        <w:t xml:space="preserve">No </w:t>
      </w:r>
      <w:r w:rsidRPr="00D937F7">
        <w:t>covered law firm may receive direct or indirect compensation from a prohibited litigation retention agreement</w:t>
      </w:r>
      <w:r w:rsidR="00256C60">
        <w:t>. This prohibition includes any form of compensation</w:t>
      </w:r>
      <w:r w:rsidRPr="00D937F7">
        <w:t xml:space="preserve"> including</w:t>
      </w:r>
      <w:r w:rsidR="00256C60">
        <w:t>, but not limited to,</w:t>
      </w:r>
      <w:r w:rsidRPr="00D937F7">
        <w:t xml:space="preserve"> attorney’s fees, contingency fees, referral fees, co-counsel fees, local counsel fees, subcontract payments, settlement-related fees, or expense reimbursements, except for</w:t>
      </w:r>
      <w:r w:rsidR="007671C7">
        <w:t xml:space="preserve"> </w:t>
      </w:r>
      <w:r w:rsidRPr="00D937F7">
        <w:t xml:space="preserve">reimbursement of reasonable costs approved </w:t>
      </w:r>
      <w:r w:rsidR="007671C7">
        <w:t xml:space="preserve">prior to </w:t>
      </w:r>
      <w:r w:rsidR="00232473">
        <w:t xml:space="preserve">the </w:t>
      </w:r>
      <w:r w:rsidR="007671C7">
        <w:t>member of the General Assembly</w:t>
      </w:r>
      <w:r w:rsidR="00256C60">
        <w:t>’s</w:t>
      </w:r>
      <w:r w:rsidR="007671C7">
        <w:t xml:space="preserve"> </w:t>
      </w:r>
      <w:r w:rsidR="00256C60">
        <w:t>election</w:t>
      </w:r>
      <w:r w:rsidR="007671C7">
        <w:t xml:space="preserve"> and employ</w:t>
      </w:r>
      <w:r w:rsidR="00256C60">
        <w:t>ment</w:t>
      </w:r>
      <w:r w:rsidR="007671C7">
        <w:t xml:space="preserve"> by </w:t>
      </w:r>
      <w:r w:rsidR="00256C60">
        <w:t>a</w:t>
      </w:r>
      <w:r w:rsidR="007671C7">
        <w:t xml:space="preserve"> covered law firm.</w:t>
      </w:r>
    </w:p>
    <w:p w:rsidR="00D937F7" w:rsidP="00B7594D" w:rsidRDefault="00D937F7" w14:paraId="63A75486" w14:textId="19893FF4">
      <w:pPr>
        <w:pStyle w:val="scnewcodesection"/>
      </w:pPr>
      <w:r>
        <w:tab/>
      </w:r>
      <w:bookmarkStart w:name="ss_T1C1N1910SD_lv1_a05e7da1b" w:id="11"/>
      <w:r>
        <w:t>(</w:t>
      </w:r>
      <w:bookmarkEnd w:id="11"/>
      <w:r>
        <w:t>D) For the purposes of this section:</w:t>
      </w:r>
    </w:p>
    <w:p w:rsidR="00D937F7" w:rsidP="00D937F7" w:rsidRDefault="00D937F7" w14:paraId="7C47D6CB" w14:textId="04B227AD">
      <w:pPr>
        <w:pStyle w:val="scnewcodesection"/>
      </w:pPr>
      <w:r>
        <w:tab/>
      </w:r>
      <w:r>
        <w:tab/>
      </w:r>
      <w:bookmarkStart w:name="ss_T1C1N1910S1_lv2_19c000d6f" w:id="12"/>
      <w:r>
        <w:t>(</w:t>
      </w:r>
      <w:bookmarkEnd w:id="12"/>
      <w:r>
        <w:t xml:space="preserve">1) </w:t>
      </w:r>
      <w:r w:rsidRPr="00D937F7">
        <w:t xml:space="preserve">“Covered law firm” means a law firm, legal professional association, legal professional limited liability company, partnership, corporation, or other legal services entity in which a member of the General Assembly, or an immediate family member of a member </w:t>
      </w:r>
      <w:r w:rsidR="00256C60">
        <w:t>thereof</w:t>
      </w:r>
      <w:r w:rsidRPr="00D937F7">
        <w:t>, is an owner, partner, shareholder, member, officer, director, employee, of counsel attorney, contractor, compensated agent, referral fee recipient, profit</w:t>
      </w:r>
      <w:r w:rsidR="008265E7">
        <w:t>-</w:t>
      </w:r>
      <w:r w:rsidRPr="00D937F7">
        <w:t>sharing participant, or other person entitled to receive direct or indirect compensation from the litigation matter.</w:t>
      </w:r>
    </w:p>
    <w:p w:rsidRPr="00D937F7" w:rsidR="00D937F7" w:rsidP="00D937F7" w:rsidRDefault="00D937F7" w14:paraId="302A149B" w14:textId="5AD252F8">
      <w:pPr>
        <w:pStyle w:val="scnewcodesection"/>
      </w:pPr>
      <w:r>
        <w:lastRenderedPageBreak/>
        <w:tab/>
      </w:r>
      <w:r>
        <w:tab/>
      </w:r>
      <w:bookmarkStart w:name="ss_T1C1N1910S2_lv2_e5b5e0d79" w:id="13"/>
      <w:r>
        <w:t>(</w:t>
      </w:r>
      <w:bookmarkEnd w:id="13"/>
      <w:r>
        <w:t xml:space="preserve">2) “Public entity” means a </w:t>
      </w:r>
      <w:r w:rsidRPr="00D937F7">
        <w:t xml:space="preserve">state agency, department, board, commission, authority, </w:t>
      </w:r>
      <w:r>
        <w:t xml:space="preserve">local governing </w:t>
      </w:r>
      <w:r w:rsidR="0091536B">
        <w:t>body</w:t>
      </w:r>
      <w:r w:rsidRPr="00D937F7">
        <w:t>, school district, special purpose district, or political subdivision</w:t>
      </w:r>
      <w:r w:rsidR="00256C60">
        <w:t xml:space="preserve"> of this State</w:t>
      </w:r>
      <w:r>
        <w:t>.</w:t>
      </w:r>
    </w:p>
    <w:p w:rsidR="00D937F7" w:rsidP="00B7594D" w:rsidRDefault="00D937F7" w14:paraId="0BF32D52" w14:textId="7B49254B">
      <w:pPr>
        <w:pStyle w:val="scnewcodesection"/>
      </w:pPr>
    </w:p>
    <w:p w:rsidRPr="00DF3B44" w:rsidR="007A10F1" w:rsidP="007A10F1" w:rsidRDefault="00E27805" w14:paraId="63892DAA" w14:textId="77777777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="001F628E" w:rsidRDefault="001F628E" w14:paraId="20A9C3FA" w14:textId="77777777">
      <w:pPr>
        <w:pStyle w:val="scemptyline"/>
      </w:pPr>
    </w:p>
    <w:p w:rsidRPr="00DF3B44" w:rsidR="005516F6" w:rsidP="009E4191" w:rsidRDefault="007A10F1" w14:paraId="2BD012E8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41271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F9D0" w14:textId="77777777" w:rsidR="003C60AA" w:rsidRDefault="003C60AA" w:rsidP="0010329A">
      <w:pPr>
        <w:spacing w:after="0" w:line="240" w:lineRule="auto"/>
      </w:pPr>
      <w:r>
        <w:separator/>
      </w:r>
    </w:p>
    <w:p w14:paraId="54AE9EF7" w14:textId="77777777" w:rsidR="003C60AA" w:rsidRDefault="003C60AA"/>
  </w:endnote>
  <w:endnote w:type="continuationSeparator" w:id="0">
    <w:p w14:paraId="2F466D43" w14:textId="77777777" w:rsidR="003C60AA" w:rsidRDefault="003C60AA" w:rsidP="0010329A">
      <w:pPr>
        <w:spacing w:after="0" w:line="240" w:lineRule="auto"/>
      </w:pPr>
      <w:r>
        <w:continuationSeparator/>
      </w:r>
    </w:p>
    <w:p w14:paraId="3BDA6474" w14:textId="77777777" w:rsidR="003C60AA" w:rsidRDefault="003C60AA"/>
  </w:endnote>
  <w:endnote w:type="continuationNotice" w:id="1">
    <w:p w14:paraId="47594C12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290AC" w14:textId="77777777" w:rsidR="00685035" w:rsidRPr="007B4AF7" w:rsidRDefault="00C42AF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A74A4">
              <w:rPr>
                <w:noProof/>
              </w:rPr>
              <w:t>LC-0513DG26.docx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41BC" w14:textId="77777777" w:rsidR="003C60AA" w:rsidRDefault="003C60AA" w:rsidP="0010329A">
      <w:pPr>
        <w:spacing w:after="0" w:line="240" w:lineRule="auto"/>
      </w:pPr>
      <w:r>
        <w:separator/>
      </w:r>
    </w:p>
    <w:p w14:paraId="1AD0A589" w14:textId="77777777" w:rsidR="003C60AA" w:rsidRDefault="003C60AA"/>
  </w:footnote>
  <w:footnote w:type="continuationSeparator" w:id="0">
    <w:p w14:paraId="1AFFB6DC" w14:textId="77777777" w:rsidR="003C60AA" w:rsidRDefault="003C60AA" w:rsidP="0010329A">
      <w:pPr>
        <w:spacing w:after="0" w:line="240" w:lineRule="auto"/>
      </w:pPr>
      <w:r>
        <w:continuationSeparator/>
      </w:r>
    </w:p>
    <w:p w14:paraId="5F16C9C5" w14:textId="77777777" w:rsidR="003C60AA" w:rsidRDefault="003C60AA"/>
  </w:footnote>
  <w:footnote w:type="continuationNotice" w:id="1">
    <w:p w14:paraId="39E30D6A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6DC9"/>
    <w:rsid w:val="00037F04"/>
    <w:rsid w:val="000404BF"/>
    <w:rsid w:val="00044B84"/>
    <w:rsid w:val="000479D0"/>
    <w:rsid w:val="0006464F"/>
    <w:rsid w:val="000669F8"/>
    <w:rsid w:val="00066B54"/>
    <w:rsid w:val="00072FCD"/>
    <w:rsid w:val="00073D4E"/>
    <w:rsid w:val="00074A4F"/>
    <w:rsid w:val="00077B65"/>
    <w:rsid w:val="00082F4D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7689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4009"/>
    <w:rsid w:val="001F2A41"/>
    <w:rsid w:val="001F313F"/>
    <w:rsid w:val="001F331D"/>
    <w:rsid w:val="001F394C"/>
    <w:rsid w:val="001F628E"/>
    <w:rsid w:val="002038AA"/>
    <w:rsid w:val="002114C8"/>
    <w:rsid w:val="0021166F"/>
    <w:rsid w:val="00214FB1"/>
    <w:rsid w:val="002162DF"/>
    <w:rsid w:val="0022200F"/>
    <w:rsid w:val="00225AE5"/>
    <w:rsid w:val="00230038"/>
    <w:rsid w:val="00232473"/>
    <w:rsid w:val="00233975"/>
    <w:rsid w:val="00236D73"/>
    <w:rsid w:val="00246535"/>
    <w:rsid w:val="00256C60"/>
    <w:rsid w:val="00257F60"/>
    <w:rsid w:val="002625EA"/>
    <w:rsid w:val="00262AC5"/>
    <w:rsid w:val="00264AE9"/>
    <w:rsid w:val="00275AE6"/>
    <w:rsid w:val="002836D8"/>
    <w:rsid w:val="0028518D"/>
    <w:rsid w:val="002865E4"/>
    <w:rsid w:val="002A558A"/>
    <w:rsid w:val="002A7989"/>
    <w:rsid w:val="002B02F3"/>
    <w:rsid w:val="002C3463"/>
    <w:rsid w:val="002D0D49"/>
    <w:rsid w:val="002D266D"/>
    <w:rsid w:val="002D30F3"/>
    <w:rsid w:val="002D5B3D"/>
    <w:rsid w:val="002D60DB"/>
    <w:rsid w:val="002D6264"/>
    <w:rsid w:val="002D7447"/>
    <w:rsid w:val="002E011D"/>
    <w:rsid w:val="002E315A"/>
    <w:rsid w:val="002E4F8C"/>
    <w:rsid w:val="002F560C"/>
    <w:rsid w:val="002F5847"/>
    <w:rsid w:val="0030425A"/>
    <w:rsid w:val="003421F1"/>
    <w:rsid w:val="0034279C"/>
    <w:rsid w:val="00343340"/>
    <w:rsid w:val="00354F64"/>
    <w:rsid w:val="003559A1"/>
    <w:rsid w:val="00361563"/>
    <w:rsid w:val="0037036E"/>
    <w:rsid w:val="00371D36"/>
    <w:rsid w:val="00373E17"/>
    <w:rsid w:val="003775E6"/>
    <w:rsid w:val="00381998"/>
    <w:rsid w:val="003A5B3B"/>
    <w:rsid w:val="003A5F1C"/>
    <w:rsid w:val="003A74A4"/>
    <w:rsid w:val="003C3E2E"/>
    <w:rsid w:val="003C60AA"/>
    <w:rsid w:val="003D4A3C"/>
    <w:rsid w:val="003D55B2"/>
    <w:rsid w:val="003D6B23"/>
    <w:rsid w:val="003E0033"/>
    <w:rsid w:val="003E5452"/>
    <w:rsid w:val="003E7165"/>
    <w:rsid w:val="003E7FF6"/>
    <w:rsid w:val="004046B5"/>
    <w:rsid w:val="00406D99"/>
    <w:rsid w:val="00406F27"/>
    <w:rsid w:val="00411641"/>
    <w:rsid w:val="004141B8"/>
    <w:rsid w:val="004203B9"/>
    <w:rsid w:val="00423980"/>
    <w:rsid w:val="00432135"/>
    <w:rsid w:val="00446987"/>
    <w:rsid w:val="00446D28"/>
    <w:rsid w:val="00466CD0"/>
    <w:rsid w:val="00473583"/>
    <w:rsid w:val="00477F32"/>
    <w:rsid w:val="00481850"/>
    <w:rsid w:val="004835B3"/>
    <w:rsid w:val="004851A0"/>
    <w:rsid w:val="004859A5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6105"/>
    <w:rsid w:val="004E1946"/>
    <w:rsid w:val="004E66E9"/>
    <w:rsid w:val="004E7DDE"/>
    <w:rsid w:val="004F0090"/>
    <w:rsid w:val="004F172C"/>
    <w:rsid w:val="005002ED"/>
    <w:rsid w:val="00500DBC"/>
    <w:rsid w:val="00503C45"/>
    <w:rsid w:val="005102BE"/>
    <w:rsid w:val="00521B11"/>
    <w:rsid w:val="00523F7F"/>
    <w:rsid w:val="00524D54"/>
    <w:rsid w:val="0054531B"/>
    <w:rsid w:val="00546C24"/>
    <w:rsid w:val="005476FF"/>
    <w:rsid w:val="005516F6"/>
    <w:rsid w:val="0055262B"/>
    <w:rsid w:val="00552842"/>
    <w:rsid w:val="00554E89"/>
    <w:rsid w:val="00564B58"/>
    <w:rsid w:val="00572281"/>
    <w:rsid w:val="005801DD"/>
    <w:rsid w:val="00592A40"/>
    <w:rsid w:val="00593DE9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070"/>
    <w:rsid w:val="005E2B9C"/>
    <w:rsid w:val="005E3332"/>
    <w:rsid w:val="005E7671"/>
    <w:rsid w:val="005F76B0"/>
    <w:rsid w:val="00604429"/>
    <w:rsid w:val="006067B0"/>
    <w:rsid w:val="00606A8B"/>
    <w:rsid w:val="006112D0"/>
    <w:rsid w:val="00611EBA"/>
    <w:rsid w:val="006132F9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CC0"/>
    <w:rsid w:val="0067345B"/>
    <w:rsid w:val="00674702"/>
    <w:rsid w:val="00683986"/>
    <w:rsid w:val="00685035"/>
    <w:rsid w:val="00685770"/>
    <w:rsid w:val="00690DBA"/>
    <w:rsid w:val="006964F9"/>
    <w:rsid w:val="006A2D3F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7BB"/>
    <w:rsid w:val="00711AA9"/>
    <w:rsid w:val="00722155"/>
    <w:rsid w:val="00730C87"/>
    <w:rsid w:val="007367BB"/>
    <w:rsid w:val="00737F19"/>
    <w:rsid w:val="007671C7"/>
    <w:rsid w:val="007709C4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7E0B"/>
    <w:rsid w:val="007F50D1"/>
    <w:rsid w:val="00815A54"/>
    <w:rsid w:val="00816D52"/>
    <w:rsid w:val="008265E7"/>
    <w:rsid w:val="00831048"/>
    <w:rsid w:val="00834272"/>
    <w:rsid w:val="008443E2"/>
    <w:rsid w:val="00844794"/>
    <w:rsid w:val="00846387"/>
    <w:rsid w:val="008625C1"/>
    <w:rsid w:val="0087671D"/>
    <w:rsid w:val="008806F9"/>
    <w:rsid w:val="00885585"/>
    <w:rsid w:val="00887957"/>
    <w:rsid w:val="008A57E3"/>
    <w:rsid w:val="008B5BF4"/>
    <w:rsid w:val="008C0CEE"/>
    <w:rsid w:val="008C1B18"/>
    <w:rsid w:val="008D46EC"/>
    <w:rsid w:val="008E0E25"/>
    <w:rsid w:val="008E595C"/>
    <w:rsid w:val="008E61A1"/>
    <w:rsid w:val="009031EF"/>
    <w:rsid w:val="0091536B"/>
    <w:rsid w:val="00917EA3"/>
    <w:rsid w:val="00917EE0"/>
    <w:rsid w:val="00921C89"/>
    <w:rsid w:val="00926966"/>
    <w:rsid w:val="00926D03"/>
    <w:rsid w:val="00934036"/>
    <w:rsid w:val="00934889"/>
    <w:rsid w:val="00942566"/>
    <w:rsid w:val="0094541D"/>
    <w:rsid w:val="009473EA"/>
    <w:rsid w:val="00954E7E"/>
    <w:rsid w:val="009554D9"/>
    <w:rsid w:val="009572F9"/>
    <w:rsid w:val="009601B1"/>
    <w:rsid w:val="00960D0F"/>
    <w:rsid w:val="0098366F"/>
    <w:rsid w:val="00983A03"/>
    <w:rsid w:val="00986063"/>
    <w:rsid w:val="00991F67"/>
    <w:rsid w:val="00992876"/>
    <w:rsid w:val="0099451A"/>
    <w:rsid w:val="009A0DCE"/>
    <w:rsid w:val="009A22CD"/>
    <w:rsid w:val="009A3E4B"/>
    <w:rsid w:val="009B35FD"/>
    <w:rsid w:val="009B6815"/>
    <w:rsid w:val="009D2967"/>
    <w:rsid w:val="009D3C2B"/>
    <w:rsid w:val="009D5466"/>
    <w:rsid w:val="009E4191"/>
    <w:rsid w:val="009F00C4"/>
    <w:rsid w:val="009F2AB1"/>
    <w:rsid w:val="009F4FAF"/>
    <w:rsid w:val="009F68F1"/>
    <w:rsid w:val="00A04529"/>
    <w:rsid w:val="00A0584B"/>
    <w:rsid w:val="00A17135"/>
    <w:rsid w:val="00A21A6F"/>
    <w:rsid w:val="00A24A4C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126C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79E4"/>
    <w:rsid w:val="00B4137E"/>
    <w:rsid w:val="00B54DF7"/>
    <w:rsid w:val="00B56223"/>
    <w:rsid w:val="00B56E79"/>
    <w:rsid w:val="00B57AA7"/>
    <w:rsid w:val="00B622FB"/>
    <w:rsid w:val="00B637AA"/>
    <w:rsid w:val="00B63BE2"/>
    <w:rsid w:val="00B7592C"/>
    <w:rsid w:val="00B7594D"/>
    <w:rsid w:val="00B809D3"/>
    <w:rsid w:val="00B829AA"/>
    <w:rsid w:val="00B84B66"/>
    <w:rsid w:val="00B85475"/>
    <w:rsid w:val="00B9090A"/>
    <w:rsid w:val="00B92196"/>
    <w:rsid w:val="00B9228D"/>
    <w:rsid w:val="00B929EC"/>
    <w:rsid w:val="00BA5C23"/>
    <w:rsid w:val="00BB0725"/>
    <w:rsid w:val="00BB470A"/>
    <w:rsid w:val="00BC1A9A"/>
    <w:rsid w:val="00BC408A"/>
    <w:rsid w:val="00BC5023"/>
    <w:rsid w:val="00BC556C"/>
    <w:rsid w:val="00BD42DA"/>
    <w:rsid w:val="00BD4684"/>
    <w:rsid w:val="00BD64BD"/>
    <w:rsid w:val="00BE08A7"/>
    <w:rsid w:val="00BE4391"/>
    <w:rsid w:val="00BF3E48"/>
    <w:rsid w:val="00C15F1B"/>
    <w:rsid w:val="00C16288"/>
    <w:rsid w:val="00C17D1D"/>
    <w:rsid w:val="00C214ED"/>
    <w:rsid w:val="00C251BD"/>
    <w:rsid w:val="00C45923"/>
    <w:rsid w:val="00C543E7"/>
    <w:rsid w:val="00C672A5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49AC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495C"/>
    <w:rsid w:val="00D772FB"/>
    <w:rsid w:val="00D937F7"/>
    <w:rsid w:val="00DA1AA0"/>
    <w:rsid w:val="00DA512B"/>
    <w:rsid w:val="00DB0BB2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271"/>
    <w:rsid w:val="00E43F26"/>
    <w:rsid w:val="00E52A36"/>
    <w:rsid w:val="00E545A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EF5DE4"/>
    <w:rsid w:val="00F03605"/>
    <w:rsid w:val="00F05A03"/>
    <w:rsid w:val="00F05FE8"/>
    <w:rsid w:val="00F06D86"/>
    <w:rsid w:val="00F13D87"/>
    <w:rsid w:val="00F149E5"/>
    <w:rsid w:val="00F15E33"/>
    <w:rsid w:val="00F17DA2"/>
    <w:rsid w:val="00F22EC0"/>
    <w:rsid w:val="00F254D3"/>
    <w:rsid w:val="00F25C47"/>
    <w:rsid w:val="00F27D7B"/>
    <w:rsid w:val="00F31D34"/>
    <w:rsid w:val="00F342A1"/>
    <w:rsid w:val="00F34C2F"/>
    <w:rsid w:val="00F36FBA"/>
    <w:rsid w:val="00F44D36"/>
    <w:rsid w:val="00F46262"/>
    <w:rsid w:val="00F4795D"/>
    <w:rsid w:val="00F50A61"/>
    <w:rsid w:val="00F525CD"/>
    <w:rsid w:val="00F5286C"/>
    <w:rsid w:val="00F52E12"/>
    <w:rsid w:val="00F55CB4"/>
    <w:rsid w:val="00F638CA"/>
    <w:rsid w:val="00F657C5"/>
    <w:rsid w:val="00F900B4"/>
    <w:rsid w:val="00FA0F2E"/>
    <w:rsid w:val="00FA4CB3"/>
    <w:rsid w:val="00FA4DB1"/>
    <w:rsid w:val="00FB3F2A"/>
    <w:rsid w:val="00FC3593"/>
    <w:rsid w:val="00FD117D"/>
    <w:rsid w:val="00FD72E3"/>
    <w:rsid w:val="00FE06FC"/>
    <w:rsid w:val="00FE4929"/>
    <w:rsid w:val="00FE5470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181E6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4479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44794"/>
    <w:pPr>
      <w:spacing w:after="0" w:line="240" w:lineRule="auto"/>
    </w:pPr>
  </w:style>
  <w:style w:type="paragraph" w:customStyle="1" w:styleId="scemptylineheader">
    <w:name w:val="sc_emptyline_header"/>
    <w:qFormat/>
    <w:rsid w:val="0084479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4479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4479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447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44794"/>
    <w:rPr>
      <w:color w:val="808080"/>
    </w:rPr>
  </w:style>
  <w:style w:type="paragraph" w:customStyle="1" w:styleId="scdirectionallanguage">
    <w:name w:val="sc_directional_language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447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447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4479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447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447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4479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447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447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447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447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447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447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4479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447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447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4479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4479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4479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4479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4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7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4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94"/>
    <w:rPr>
      <w:lang w:val="en-US"/>
    </w:rPr>
  </w:style>
  <w:style w:type="paragraph" w:styleId="ListParagraph">
    <w:name w:val="List Paragraph"/>
    <w:basedOn w:val="Normal"/>
    <w:uiPriority w:val="34"/>
    <w:qFormat/>
    <w:rsid w:val="00844794"/>
    <w:pPr>
      <w:ind w:left="720"/>
      <w:contextualSpacing/>
    </w:pPr>
  </w:style>
  <w:style w:type="paragraph" w:customStyle="1" w:styleId="scbillfooter">
    <w:name w:val="sc_bill_footer"/>
    <w:qFormat/>
    <w:rsid w:val="0084479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4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4479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4479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4479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4479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447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4479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4479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4479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44794"/>
    <w:rPr>
      <w:strike/>
      <w:dstrike w:val="0"/>
    </w:rPr>
  </w:style>
  <w:style w:type="character" w:customStyle="1" w:styleId="scinsert">
    <w:name w:val="sc_insert"/>
    <w:uiPriority w:val="1"/>
    <w:qFormat/>
    <w:rsid w:val="0084479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4479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4479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4479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4479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4479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4479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4479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44794"/>
    <w:rPr>
      <w:strike/>
      <w:dstrike w:val="0"/>
      <w:color w:val="FF0000"/>
    </w:rPr>
  </w:style>
  <w:style w:type="paragraph" w:customStyle="1" w:styleId="scbillsiglines">
    <w:name w:val="sc_bill_sig_lines"/>
    <w:qFormat/>
    <w:rsid w:val="0084479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4479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4479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4479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4479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4479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4479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4479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937F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741&amp;session=126&amp;summary=B" TargetMode="External" Id="Rb1fd3fb27a86447c" /><Relationship Type="http://schemas.openxmlformats.org/officeDocument/2006/relationships/hyperlink" Target="https://www.scstatehouse.gov/sess126_2025-2026/prever/5741_20260625.docx" TargetMode="External" Id="Racfee59409c84a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11641"/>
    <w:rsid w:val="004E2BB5"/>
    <w:rsid w:val="00580C56"/>
    <w:rsid w:val="006B363F"/>
    <w:rsid w:val="007070D2"/>
    <w:rsid w:val="00730C87"/>
    <w:rsid w:val="007709C4"/>
    <w:rsid w:val="00776F2C"/>
    <w:rsid w:val="008F7723"/>
    <w:rsid w:val="009031EF"/>
    <w:rsid w:val="00912A5F"/>
    <w:rsid w:val="00940EED"/>
    <w:rsid w:val="00985255"/>
    <w:rsid w:val="0099451A"/>
    <w:rsid w:val="009C3651"/>
    <w:rsid w:val="009D5466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05A0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lwb360Metadata xmlns="http://schemas.openxmlformats.org/package/2006/metadata/lwb360-metadata">
  <DOCUMENT_TYPE>Bill</DOCUMENT_TYPE>
  <FILENAME>&lt;&lt;filename&gt;&gt;</FILENAME>
  <ID>77709da2-7099-4915-8747-d14d402540b1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13361697-8a9e-49c5-ac0c-868e679d1e16</T_BILL_REQUEST_REQUEST>
  <T_BILL_R_ORIGINALDRAFT>f9aeb6f5-96eb-4f63-b8a5-14d9437372ca</T_BILL_R_ORIGINALDRAFT>
  <T_BILL_SPONSOR_SPONSOR>dbad3b11-55e9-4e10-a8f0-b3d6a7587a48</T_BILL_SPONSOR_SPONSOR>
  <T_BILL_T_BILLNAME>[5741]</T_BILL_T_BILLNAME>
  <T_BILL_T_BILLNUMBER>5741</T_BILL_T_BILLNUMBER>
  <T_BILL_T_BILLTITLE>To AMEND THE South Carolina Code of Laws by adding Article 29 to Title 1, Chapter 1 so as to prohibit a law firm that employs a member of the General Assembly, or an immediate family member of a member of the General assembly, from entering into a litigation retention agreement with a public entity in this State.</T_BILL_T_BILLTITLE>
  <T_BILL_T_CHAMBER>house</T_BILL_T_CHAMBER>
  <T_BILL_T_FILENAME> </T_BILL_T_FILENAME>
  <T_BILL_T_LEGTYPE>bill_statewide</T_BILL_T_LEGTYPE>
  <T_BILL_T_RATNUMBERSTRING>HNone</T_BILL_T_RATNUMBERSTRING>
  <T_BILL_T_SECTIONS>[{"SectionUUID":"9cc874d4-18c3-46c1-ba48-579126506abb","SectionName":"code_section","SectionNumber":1,"SectionType":"code_section","CodeSections":[{"CodeSectionBookmarkName":"ns_T1C1N1910_4e8a4f7f4","IsConstitutionSection":false,"Identity":"1-1-1910","IsNew":true,"SubSections":[{"Level":1,"Identity":"T1C1N1910SA","SubSectionBookmarkName":"ss_T1C1N1910SA_lv1_5b9789fc8","IsNewSubSection":false,"SubSectionReplacement":""},{"Level":1,"Identity":"T1C1N1910SB","SubSectionBookmarkName":"ss_T1C1N1910SB_lv1_ee3706fde","IsNewSubSection":false,"SubSectionReplacement":""},{"Level":1,"Identity":"T1C1N1910SC","SubSectionBookmarkName":"ss_T1C1N1910SC_lv1_79b04163e","IsNewSubSection":false,"SubSectionReplacement":""},{"Level":1,"Identity":"T1C1N1910SD","SubSectionBookmarkName":"ss_T1C1N1910SD_lv1_a05e7da1b","IsNewSubSection":false,"SubSectionReplacement":""},{"Level":2,"Identity":"T1C1N1910S1","SubSectionBookmarkName":"ss_T1C1N1910S1_lv2_19c000d6f","IsNewSubSection":false,"SubSectionReplacement":""},{"Level":2,"Identity":"T1C1N1910S2","SubSectionBookmarkName":"ss_T1C1N1910S2_lv2_e5b5e0d79","IsNewSubSection":false,"SubSectionReplacement":""}],"TitleRelatedTo":"","TitleSoAsTo":"","Deleted":false,"IsStricken":false}],"TitleText":"","DisableControls":false,"Deleted":false,"RepealItems":[],"SectionBookmarkName":"bs_num_1_2dcd62a60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Ban litigation retention agreements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AE62D-237C-4441-8C5F-6FFCD46AD9A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1854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2026-05-08T18:53:00Z</cp:lastPrinted>
  <dcterms:created xsi:type="dcterms:W3CDTF">2026-05-14T15:56:00Z</dcterms:created>
  <dcterms:modified xsi:type="dcterms:W3CDTF">2026-05-14T15:56:00Z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