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780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Gambrell</w:t>
      </w:r>
    </w:p>
    <w:p>
      <w:pPr>
        <w:widowControl w:val="false"/>
        <w:spacing w:after="0"/>
        <w:jc w:val="left"/>
      </w:pPr>
      <w:r>
        <w:rPr>
          <w:rFonts w:ascii="Times New Roman"/>
          <w:sz w:val="22"/>
        </w:rPr>
        <w:t xml:space="preserve">Document Path: LC-0472SA26.docx</w:t>
      </w:r>
    </w:p>
    <w:p>
      <w:pPr>
        <w:widowControl w:val="false"/>
        <w:spacing w:after="0"/>
        <w:jc w:val="left"/>
      </w:pPr>
    </w:p>
    <w:p>
      <w:pPr>
        <w:widowControl w:val="false"/>
        <w:spacing w:after="0"/>
        <w:jc w:val="left"/>
      </w:pPr>
      <w:r>
        <w:rPr>
          <w:rFonts w:ascii="Times New Roman"/>
          <w:sz w:val="22"/>
        </w:rPr>
        <w:t xml:space="preserve">Introduced in the Senate on January 13, 2026</w:t>
      </w:r>
    </w:p>
    <w:p>
      <w:pPr>
        <w:widowControl w:val="false"/>
        <w:spacing w:after="0"/>
        <w:jc w:val="left"/>
      </w:pPr>
      <w:r>
        <w:rPr>
          <w:rFonts w:ascii="Times New Roman"/>
          <w:sz w:val="22"/>
        </w:rPr>
        <w:t>Currently residing in the Senate Committee on</w:t>
      </w:r>
      <w:r>
        <w:rPr>
          <w:rFonts w:ascii="Times New Roman"/>
          <w:b/>
          <w:sz w:val="22"/>
        </w:rPr>
        <w:t xml:space="preserve"> Banking and Insurance</w:t>
      </w:r>
    </w:p>
    <w:p>
      <w:pPr>
        <w:widowControl w:val="false"/>
        <w:spacing w:after="0"/>
        <w:jc w:val="left"/>
      </w:pPr>
    </w:p>
    <w:p>
      <w:pPr>
        <w:widowControl w:val="false"/>
        <w:spacing w:after="0"/>
        <w:jc w:val="left"/>
      </w:pPr>
      <w:r>
        <w:rPr>
          <w:rFonts w:ascii="Times New Roman"/>
          <w:sz w:val="22"/>
        </w:rPr>
        <w:t xml:space="preserve">Summary: Consumer Home Loans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1/13/2026</w:t>
      </w:r>
      <w:r>
        <w:tab/>
        <w:t>Senate</w:t>
      </w:r>
      <w:r>
        <w:tab/>
        <w:t xml:space="preserve">Introduced and read first time</w:t>
      </w:r>
      <w:r>
        <w:t xml:space="preserve"> (</w:t>
      </w:r>
      <w:hyperlink w:history="true" r:id="Rd6b58b0ab388426e">
        <w:r w:rsidRPr="00770434">
          <w:rPr>
            <w:rStyle w:val="Hyperlink"/>
          </w:rPr>
          <w:t>Senate Journal</w:t>
        </w:r>
        <w:r w:rsidRPr="00770434">
          <w:rPr>
            <w:rStyle w:val="Hyperlink"/>
          </w:rPr>
          <w:noBreakHyphen/>
          <w:t>page 50</w:t>
        </w:r>
      </w:hyperlink>
      <w:r>
        <w:t>)</w:t>
      </w:r>
    </w:p>
    <w:p>
      <w:pPr>
        <w:widowControl w:val="false"/>
        <w:tabs>
          <w:tab w:val="right" w:pos="1008"/>
          <w:tab w:val="left" w:pos="1152"/>
          <w:tab w:val="left" w:pos="1872"/>
          <w:tab w:val="left" w:pos="9187"/>
        </w:tabs>
        <w:spacing w:after="0"/>
        <w:ind w:left="2088" w:hanging="2088"/>
      </w:pPr>
      <w:r>
        <w:tab/>
        <w:t>1/13/2026</w:t>
      </w:r>
      <w:r>
        <w:tab/>
        <w:t>Senate</w:t>
      </w:r>
      <w:r>
        <w:tab/>
        <w:t xml:space="preserve">Referred to Committee on</w:t>
      </w:r>
      <w:r>
        <w:rPr>
          <w:b/>
        </w:rPr>
        <w:t xml:space="preserve"> Banking and Insurance</w:t>
      </w:r>
      <w:r>
        <w:t xml:space="preserve"> (</w:t>
      </w:r>
      <w:hyperlink w:history="true" r:id="R6ebb7da9ef954567">
        <w:r w:rsidRPr="00770434">
          <w:rPr>
            <w:rStyle w:val="Hyperlink"/>
          </w:rPr>
          <w:t>Senate Journal</w:t>
        </w:r>
        <w:r w:rsidRPr="00770434">
          <w:rPr>
            <w:rStyle w:val="Hyperlink"/>
          </w:rPr>
          <w:noBreakHyphen/>
          <w:t>page 50</w:t>
        </w:r>
      </w:hyperlink>
      <w:r>
        <w:t>)</w:t>
      </w:r>
    </w:p>
    <w:p>
      <w:pPr>
        <w:widowControl w:val="false"/>
        <w:spacing w:after="0"/>
        <w:jc w:val="left"/>
      </w:pPr>
    </w:p>
    <w:p>
      <w:pPr>
        <w:widowControl w:val="false"/>
        <w:spacing w:after="0"/>
        <w:jc w:val="left"/>
      </w:pPr>
      <w:r>
        <w:rPr>
          <w:rFonts w:ascii="Times New Roman"/>
          <w:sz w:val="22"/>
        </w:rPr>
        <w:t xml:space="preserve">View the latest </w:t>
      </w:r>
      <w:hyperlink r:id="R88f2bf6bd043498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703b24a866c48f8">
        <w:r>
          <w:rPr>
            <w:rStyle w:val="Hyperlink"/>
            <w:u w:val="single"/>
          </w:rPr>
          <w:t>01/13/2026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1D6FFD" w:rsidRDefault="00432135" w14:paraId="61F4310E" w14:textId="245A005E">
      <w:pPr>
        <w:pStyle w:val="scemptylineheader"/>
      </w:pPr>
      <w:bookmarkStart w:name="open_doc_here" w:id="0"/>
      <w:bookmarkEnd w:id="0"/>
    </w:p>
    <w:p w:rsidRPr="00BB0725" w:rsidR="00A73EFA" w:rsidP="001D6FFD" w:rsidRDefault="00A73EFA" w14:paraId="700AD38E" w14:textId="2BCCE2BA">
      <w:pPr>
        <w:pStyle w:val="scemptylineheader"/>
      </w:pPr>
    </w:p>
    <w:p w:rsidRPr="00BB0725" w:rsidR="00A73EFA" w:rsidP="001D6FFD" w:rsidRDefault="00A73EFA" w14:paraId="6A62D6E2" w14:textId="6E22C578">
      <w:pPr>
        <w:pStyle w:val="scemptylineheader"/>
      </w:pPr>
    </w:p>
    <w:p w:rsidRPr="00DF3B44" w:rsidR="00A73EFA" w:rsidP="001D6FFD" w:rsidRDefault="00A73EFA" w14:paraId="6CDA964F" w14:textId="46FE8CDF">
      <w:pPr>
        <w:pStyle w:val="scemptylineheader"/>
      </w:pPr>
    </w:p>
    <w:p w:rsidRPr="00DF3B44" w:rsidR="00A73EFA" w:rsidP="001D6FFD" w:rsidRDefault="00A73EFA" w14:paraId="18C5385B" w14:textId="2E6F1FA7">
      <w:pPr>
        <w:pStyle w:val="scemptylineheader"/>
      </w:pPr>
    </w:p>
    <w:p w:rsidRPr="00DF3B44" w:rsidR="00A73EFA" w:rsidP="001D6FFD" w:rsidRDefault="00A73EFA" w14:paraId="610FC503" w14:textId="781E1EEF">
      <w:pPr>
        <w:pStyle w:val="scemptylineheader"/>
      </w:pPr>
    </w:p>
    <w:p w:rsidRPr="00DF3B44" w:rsidR="002C3463" w:rsidP="00037F04" w:rsidRDefault="002C3463" w14:paraId="3505E8A5" w14:textId="77777777">
      <w:pPr>
        <w:pStyle w:val="scemptylineheader"/>
      </w:pPr>
    </w:p>
    <w:p w:rsidRPr="00DF3B44" w:rsidR="008E61A1" w:rsidP="00446987" w:rsidRDefault="008E61A1" w14:paraId="3EBAD2A4" w14:textId="77777777">
      <w:pPr>
        <w:pStyle w:val="scemptylineheader"/>
      </w:pPr>
    </w:p>
    <w:p w:rsidRPr="00DF3B44" w:rsidR="002C3463" w:rsidP="00EB120E" w:rsidRDefault="002C3463" w14:paraId="202FA91C" w14:textId="77777777">
      <w:pPr>
        <w:pStyle w:val="scbillheader"/>
      </w:pPr>
      <w:r w:rsidRPr="00DF3B44">
        <w:t>A bill</w:t>
      </w:r>
    </w:p>
    <w:p w:rsidRPr="00DF3B44" w:rsidR="002C3463" w:rsidP="001164F9" w:rsidRDefault="002C3463" w14:paraId="5F774E3E"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EE55F5" w14:paraId="7F018DC4" w14:textId="77777777">
          <w:pPr>
            <w:pStyle w:val="scbilltitle"/>
          </w:pPr>
          <w:r>
            <w:t>TO AMEND THE SOUTH CAROLINA CODE OF LAWS BY AMENDING SECTION 37‑23‑20, RELATING TO HIGH‑COST AND CONSUMER HOME LOANS DEFINITIONS, SO AS TO PROVIDE THAT THE CONVENTIONAL MORTGAGE RATE MEANS THE AVERAGE PRIME OFFER RATE.</w:t>
          </w:r>
        </w:p>
      </w:sdtContent>
    </w:sdt>
    <w:bookmarkStart w:name="at_034452c7a" w:displacedByCustomXml="prev" w:id="1"/>
    <w:bookmarkEnd w:id="1"/>
    <w:p w:rsidRPr="00DF3B44" w:rsidR="006C18F0" w:rsidP="006C18F0" w:rsidRDefault="006C18F0" w14:paraId="79A891F5" w14:textId="77777777">
      <w:pPr>
        <w:pStyle w:val="scbillwhereasclause"/>
      </w:pPr>
    </w:p>
    <w:p w:rsidRPr="0094541D" w:rsidR="007E06BB" w:rsidP="0094541D" w:rsidRDefault="002C3463" w14:paraId="52F46AA6" w14:textId="77777777">
      <w:pPr>
        <w:pStyle w:val="scenactingwords"/>
      </w:pPr>
      <w:bookmarkStart w:name="ew_0405f4271" w:id="2"/>
      <w:r w:rsidRPr="0094541D">
        <w:t>B</w:t>
      </w:r>
      <w:bookmarkEnd w:id="2"/>
      <w:r w:rsidRPr="0094541D">
        <w:t>e it enacted by the General Assembly of the State of South Carolina:</w:t>
      </w:r>
    </w:p>
    <w:p w:rsidR="003E37E1" w:rsidP="003E37E1" w:rsidRDefault="003E37E1" w14:paraId="05AC4BE2" w14:textId="77777777">
      <w:pPr>
        <w:pStyle w:val="scemptyline"/>
      </w:pPr>
    </w:p>
    <w:p w:rsidR="003E37E1" w:rsidP="003E37E1" w:rsidRDefault="003E37E1" w14:paraId="3DE7CDF5" w14:textId="77777777">
      <w:pPr>
        <w:pStyle w:val="scdirectionallanguage"/>
      </w:pPr>
      <w:bookmarkStart w:name="bs_num_1_36903b9ed" w:id="3"/>
      <w:r>
        <w:t>S</w:t>
      </w:r>
      <w:bookmarkEnd w:id="3"/>
      <w:r>
        <w:t>ECTION 1.</w:t>
      </w:r>
      <w:r>
        <w:tab/>
      </w:r>
      <w:bookmarkStart w:name="dl_8de7535aa" w:id="4"/>
      <w:r>
        <w:t>S</w:t>
      </w:r>
      <w:bookmarkEnd w:id="4"/>
      <w:r>
        <w:t>ection 37‑23‑20(6)</w:t>
      </w:r>
      <w:r w:rsidR="00E93E5C">
        <w:t xml:space="preserve"> and (15)</w:t>
      </w:r>
      <w:r>
        <w:t xml:space="preserve"> of the S.C. Code is amended to read:</w:t>
      </w:r>
    </w:p>
    <w:p w:rsidR="00A566D0" w:rsidRDefault="00A566D0" w14:paraId="00D4F3F8" w14:textId="77777777">
      <w:pPr>
        <w:pStyle w:val="sccodifiedsection"/>
      </w:pPr>
    </w:p>
    <w:p w:rsidR="00EE55F5" w:rsidP="00EE55F5" w:rsidRDefault="00A566D0" w14:paraId="04A01AE8" w14:textId="77777777">
      <w:pPr>
        <w:pStyle w:val="sccodifiedsection"/>
        <w:rPr>
          <w:rStyle w:val="scinsert"/>
        </w:rPr>
      </w:pPr>
      <w:bookmarkStart w:name="cs_T37C23N20_4987ffecd" w:id="5"/>
      <w:r>
        <w:tab/>
      </w:r>
      <w:bookmarkStart w:name="ss_T37C23N20S6_lv1_51b72cdfd" w:id="6"/>
      <w:bookmarkEnd w:id="5"/>
      <w:r>
        <w:t>(</w:t>
      </w:r>
      <w:bookmarkEnd w:id="6"/>
      <w:r>
        <w:t>6) “Conventional mortgage rate” means the</w:t>
      </w:r>
      <w:r>
        <w:rPr>
          <w:rStyle w:val="scstrike"/>
        </w:rPr>
        <w:t xml:space="preserve"> required net yield for a ninety‑day standard mandatory delivery commitment for a reasonably comparable loan from either the Federal National Mortgage Association or the Federal Home Loan Mortgage Corporation, whichever is greater.</w:t>
      </w:r>
      <w:r w:rsidR="003764F2">
        <w:rPr>
          <w:rStyle w:val="scinsert"/>
        </w:rPr>
        <w:t xml:space="preserve"> </w:t>
      </w:r>
      <w:r w:rsidR="00EE55F5">
        <w:rPr>
          <w:rStyle w:val="scinsert"/>
        </w:rPr>
        <w:t>average prime offer rate as defined in 12 C.F.R. 1026.35(a)(2) that applies to a comparable transaction, as published by the United States Consumer Financial Protection Bureau as of the last date the interest rate for the transaction is set.</w:t>
      </w:r>
    </w:p>
    <w:p w:rsidR="00EE55F5" w:rsidP="00EE55F5" w:rsidRDefault="00EE55F5" w14:paraId="0D34F766" w14:textId="77777777">
      <w:pPr>
        <w:pStyle w:val="sccodifiedsection"/>
        <w:rPr>
          <w:rStyle w:val="scinsert"/>
        </w:rPr>
      </w:pPr>
      <w:r>
        <w:rPr>
          <w:rStyle w:val="scinsert"/>
        </w:rPr>
        <w:tab/>
      </w:r>
      <w:r>
        <w:rPr>
          <w:rStyle w:val="scinsert"/>
        </w:rPr>
        <w:tab/>
      </w:r>
      <w:bookmarkStart w:name="ss_T37C23N20Sa_lv2_12fc1a816" w:id="7"/>
      <w:r>
        <w:rPr>
          <w:rStyle w:val="scinsert"/>
        </w:rPr>
        <w:t>(</w:t>
      </w:r>
      <w:bookmarkEnd w:id="7"/>
      <w:r>
        <w:rPr>
          <w:rStyle w:val="scinsert"/>
        </w:rPr>
        <w:t>a) The relevant date to use to determine the average prime offer rate for a comparable transaction is the date on which the interest rate was set by the lender for the final time before final action is taken including, but not limited to, consummation, regardless of whether market rates have increased, decreased, or remained the same since the final rate was set.</w:t>
      </w:r>
    </w:p>
    <w:p w:rsidR="00A566D0" w:rsidDel="00362723" w:rsidP="00EE55F5" w:rsidRDefault="00EE55F5" w14:paraId="4403BD1C" w14:textId="77777777">
      <w:pPr>
        <w:pStyle w:val="sccodifiedsection"/>
        <w:rPr>
          <w:rStyle w:val="scstrike"/>
        </w:rPr>
      </w:pPr>
      <w:r>
        <w:rPr>
          <w:rStyle w:val="scinsert"/>
        </w:rPr>
        <w:tab/>
      </w:r>
      <w:r>
        <w:rPr>
          <w:rStyle w:val="scinsert"/>
        </w:rPr>
        <w:tab/>
      </w:r>
      <w:bookmarkStart w:name="ss_T37C23N20Sb_lv2_0c3ca8952" w:id="8"/>
      <w:r>
        <w:rPr>
          <w:rStyle w:val="scinsert"/>
        </w:rPr>
        <w:t>(</w:t>
      </w:r>
      <w:bookmarkEnd w:id="8"/>
      <w:r>
        <w:rPr>
          <w:rStyle w:val="scinsert"/>
        </w:rPr>
        <w:t>b) If the index is not available, the administrator may issue an order or interpretation adopting a substitute index.</w:t>
      </w:r>
    </w:p>
    <w:p w:rsidR="00362723" w:rsidP="00EE55F5" w:rsidRDefault="00362723" w14:paraId="435D66D4" w14:textId="77777777">
      <w:pPr>
        <w:pStyle w:val="sccodifiedsection"/>
        <w:rPr>
          <w:rStyle w:val="scinsert"/>
          <w:strike/>
        </w:rPr>
      </w:pPr>
    </w:p>
    <w:p w:rsidRPr="00DF3B44" w:rsidR="007E06BB" w:rsidP="00EE55F5" w:rsidRDefault="007E06BB" w14:paraId="5E7AA674" w14:textId="77777777">
      <w:pPr>
        <w:pStyle w:val="sccodifiedsection"/>
      </w:pPr>
      <w:r>
        <w:tab/>
      </w:r>
      <w:bookmarkStart w:name="ss_T37C23N20S15_lv1_ff00d049c" w:id="9"/>
      <w:r>
        <w:t>(</w:t>
      </w:r>
      <w:bookmarkEnd w:id="9"/>
      <w:r>
        <w:t>15) “Threshold” means either (A) or (B) in a loan transaction, whichever is applicable:</w:t>
      </w:r>
    </w:p>
    <w:p w:rsidR="00686DE3" w:rsidRDefault="0082203D" w14:paraId="2250A6E7" w14:textId="77777777">
      <w:pPr>
        <w:pStyle w:val="sccodifiedsection"/>
      </w:pPr>
      <w:r>
        <w:tab/>
      </w:r>
      <w:r>
        <w:tab/>
      </w:r>
      <w:bookmarkStart w:name="ss_T37C23N20SA_lv2_cf609f805" w:id="10"/>
      <w:r>
        <w:t>(</w:t>
      </w:r>
      <w:bookmarkEnd w:id="10"/>
      <w:r>
        <w:t xml:space="preserve">A) without regard to whether the loan transaction is a “ residential mortgage transaction” as the term “ residential mortgage transaction” is defined in Section 226. 2(a)(24) of Title 12 of the Code of Federal Regulations, as amended, the annual percentage rate of the loan at the time the loan is consummated is such a rate that the loan is considered to be a “mortgage” pursuant to Section 152 of the Home Ownership and Equity Protection Act of 1994 (Pub. Law 103‑25, [15 U.S.C. Section 1602(aa)]), as amended, and regulations adopted pursuant to it by the Federal Reserve Board, including Section 226.32 of Title 12 of the Code of Federal Regulations, as amended, except with regard to a </w:t>
      </w:r>
      <w:r>
        <w:lastRenderedPageBreak/>
        <w:t>mortgage or loan secured by a nonreal estate manufactured housing lien, the term “threshold” means the annual percentage rate of the nonreal estate secured manufactured housing lien at the time the mortgage or loan is consummated exceeds by more than ten percentage points the yield on United States Treasury securities having comparable periods of maturity as of the fifteenth day of the month immediately preceding the month in which the application of the extension of credit is received by the lender;</w:t>
      </w:r>
    </w:p>
    <w:p w:rsidR="00686DE3" w:rsidRDefault="0082203D" w14:paraId="0B1FC1F0" w14:textId="77777777">
      <w:pPr>
        <w:pStyle w:val="sccodifiedsection"/>
      </w:pPr>
      <w:r>
        <w:tab/>
      </w:r>
      <w:r>
        <w:tab/>
      </w:r>
      <w:bookmarkStart w:name="ss_T37C23N20SB_lv2_6ba9a85b9" w:id="11"/>
      <w:r>
        <w:t>(</w:t>
      </w:r>
      <w:bookmarkEnd w:id="11"/>
      <w:r>
        <w:t>B) the total points and fees payable by the borrower at or before the loan closing exceed:</w:t>
      </w:r>
    </w:p>
    <w:p w:rsidR="00686DE3" w:rsidRDefault="0082203D" w14:paraId="5C5FDBBE" w14:textId="77777777">
      <w:pPr>
        <w:pStyle w:val="sccodifiedsection"/>
      </w:pPr>
      <w:r>
        <w:tab/>
      </w:r>
      <w:r>
        <w:tab/>
      </w:r>
      <w:r>
        <w:tab/>
      </w:r>
      <w:bookmarkStart w:name="ss_T37C23N20Si_lv3_5ad516dcc" w:id="12"/>
      <w:r>
        <w:t>(</w:t>
      </w:r>
      <w:bookmarkEnd w:id="12"/>
      <w:r>
        <w:t>i) five percent of the total loan amount if the total loan amount is twenty thousand dollars or more;</w:t>
      </w:r>
    </w:p>
    <w:p w:rsidR="00686DE3" w:rsidRDefault="0082203D" w14:paraId="647DF3C5" w14:textId="3D072381">
      <w:pPr>
        <w:pStyle w:val="sccodifiedsection"/>
      </w:pPr>
      <w:r>
        <w:tab/>
      </w:r>
      <w:r>
        <w:tab/>
      </w:r>
      <w:r>
        <w:tab/>
      </w:r>
      <w:bookmarkStart w:name="ss_T37C23N20Sii_lv3_0491011b0" w:id="13"/>
      <w:r>
        <w:t>(</w:t>
      </w:r>
      <w:bookmarkEnd w:id="13"/>
      <w:r>
        <w:t>ii) the lesser of eight percent of the total loan amount or one thousand dollars if the total loan amount is less than twenty thousand dollars; or</w:t>
      </w:r>
    </w:p>
    <w:p w:rsidR="00686DE3" w:rsidRDefault="0082203D" w14:paraId="4EFDAE0C" w14:textId="77777777">
      <w:pPr>
        <w:pStyle w:val="sccodifiedsection"/>
      </w:pPr>
      <w:r>
        <w:tab/>
      </w:r>
      <w:r>
        <w:tab/>
      </w:r>
      <w:r>
        <w:tab/>
      </w:r>
      <w:bookmarkStart w:name="ss_T37C23N20Siii_lv3_6d84b18f1" w:id="14"/>
      <w:r>
        <w:t>(</w:t>
      </w:r>
      <w:bookmarkEnd w:id="14"/>
      <w:r>
        <w:t>iii) three percent of the total loan amount for nonreal estate secured manufactured housing transactions if the total loan amount in the nonreal estate secured housing transaction is twenty thousand dollars or more;</w:t>
      </w:r>
    </w:p>
    <w:p w:rsidR="00686DE3" w:rsidRDefault="0082203D" w14:paraId="750AE842" w14:textId="77777777">
      <w:pPr>
        <w:pStyle w:val="sccodifiedsection"/>
      </w:pPr>
      <w:r>
        <w:tab/>
      </w:r>
      <w:r>
        <w:tab/>
      </w:r>
      <w:bookmarkStart w:name="ss_T37C23N20SC_lv2_bd6975bb6" w:id="15"/>
      <w:r>
        <w:t>(</w:t>
      </w:r>
      <w:bookmarkEnd w:id="15"/>
      <w:r>
        <w:t>C) except that the following discount points and prepayment fees and penalties are excluded from the calculation of the total points and fees payable by the borrower:</w:t>
      </w:r>
    </w:p>
    <w:p w:rsidR="00686DE3" w:rsidRDefault="0082203D" w14:paraId="3E7D2D61" w14:textId="321CDDBC">
      <w:pPr>
        <w:pStyle w:val="sccodifiedsection"/>
      </w:pPr>
      <w:r>
        <w:tab/>
      </w:r>
      <w:r>
        <w:tab/>
      </w:r>
      <w:r>
        <w:tab/>
      </w:r>
      <w:bookmarkStart w:name="ss_T37C23N20Si_lv3_ba685ce58" w:id="16"/>
      <w:r>
        <w:t>(</w:t>
      </w:r>
      <w:bookmarkEnd w:id="16"/>
      <w:r>
        <w:t>i) up to and including two conventional conforming discount points payable by the borrower in connection with the loan transaction, but only if the interest rate from which the loan</w:t>
      </w:r>
      <w:r w:rsidR="00D951DF">
        <w:t>’</w:t>
      </w:r>
      <w:r>
        <w:t>s interest rate is discounted does not exceed</w:t>
      </w:r>
      <w:r w:rsidR="00362723">
        <w:rPr>
          <w:rStyle w:val="scinsert"/>
        </w:rPr>
        <w:t xml:space="preserve"> the conventional mortgage rate</w:t>
      </w:r>
      <w:r>
        <w:t xml:space="preserve"> by more than one percentage point</w:t>
      </w:r>
      <w:r>
        <w:rPr>
          <w:rStyle w:val="scstrike"/>
        </w:rPr>
        <w:t xml:space="preserve"> the required net yield for a ninety‑day standard mandatory delivery commitment for a reasonably comparable loan from either the Federal National Mortgage Association or the Federal Home Loan Mortgage Corporation, whichever is greater</w:t>
      </w:r>
      <w:r>
        <w:t>; or</w:t>
      </w:r>
    </w:p>
    <w:p w:rsidR="00686DE3" w:rsidRDefault="0082203D" w14:paraId="6342B063" w14:textId="0537B10A">
      <w:pPr>
        <w:pStyle w:val="sccodifiedsection"/>
      </w:pPr>
      <w:r>
        <w:tab/>
      </w:r>
      <w:r>
        <w:tab/>
      </w:r>
      <w:r>
        <w:tab/>
      </w:r>
      <w:bookmarkStart w:name="ss_T37C23N20Sii_lv3_d57840b8c" w:id="17"/>
      <w:r>
        <w:t>(</w:t>
      </w:r>
      <w:bookmarkEnd w:id="17"/>
      <w:r>
        <w:t>ii) up to and including one conventional conforming discount point payable by the borrower in connection with the loan transaction, but only if the interest rate from which the loan</w:t>
      </w:r>
      <w:r w:rsidR="00D951DF">
        <w:t>’</w:t>
      </w:r>
      <w:r>
        <w:t>s interest rate is discounted does not exceed</w:t>
      </w:r>
      <w:r w:rsidR="00362723">
        <w:rPr>
          <w:rStyle w:val="scinsert"/>
        </w:rPr>
        <w:t xml:space="preserve"> the conventional mortgage rate</w:t>
      </w:r>
      <w:r>
        <w:t xml:space="preserve"> by more than two percentage points </w:t>
      </w:r>
      <w:r>
        <w:rPr>
          <w:rStyle w:val="scstrike"/>
        </w:rPr>
        <w:t>the required net yield for a ninety‑day standard mandatory delivery commitment for a reasonably comparable loan from either the Federal National Mortgage Association or the Federal Home Loan Mortgage Corporation, whichever is greater</w:t>
      </w:r>
      <w:r>
        <w:t>;</w:t>
      </w:r>
    </w:p>
    <w:p w:rsidR="00686DE3" w:rsidRDefault="0082203D" w14:paraId="1075B11E" w14:textId="77777777">
      <w:pPr>
        <w:pStyle w:val="sccodifiedsection"/>
      </w:pPr>
      <w:r>
        <w:tab/>
      </w:r>
      <w:r>
        <w:tab/>
      </w:r>
      <w:r>
        <w:tab/>
      </w:r>
      <w:bookmarkStart w:name="ss_T37C23N20Siii_lv3_ad84f680c" w:id="18"/>
      <w:r>
        <w:t>(</w:t>
      </w:r>
      <w:bookmarkEnd w:id="18"/>
      <w:r>
        <w:t>iii) a conventional prepayment penalty.</w:t>
      </w:r>
    </w:p>
    <w:p w:rsidR="0082203D" w:rsidRDefault="0082203D" w14:paraId="0E1875A3" w14:textId="77777777">
      <w:pPr>
        <w:pStyle w:val="scemptyline"/>
      </w:pPr>
    </w:p>
    <w:p w:rsidRPr="00DF3B44" w:rsidR="007A10F1" w:rsidP="007A10F1" w:rsidRDefault="00E27805" w14:paraId="5B65A85C" w14:textId="77777777">
      <w:pPr>
        <w:pStyle w:val="scnoncodifiedsection"/>
      </w:pPr>
      <w:bookmarkStart w:name="bs_num_2_lastsection" w:id="19"/>
      <w:bookmarkStart w:name="eff_date_section" w:id="20"/>
      <w:r w:rsidRPr="00DF3B44">
        <w:t>S</w:t>
      </w:r>
      <w:bookmarkEnd w:id="19"/>
      <w:r w:rsidRPr="00DF3B44">
        <w:t>ECTION 2.</w:t>
      </w:r>
      <w:r w:rsidRPr="00DF3B44" w:rsidR="005D3013">
        <w:tab/>
      </w:r>
      <w:r w:rsidRPr="00DF3B44" w:rsidR="007A10F1">
        <w:t>This act takes effect upon approval by the Governor.</w:t>
      </w:r>
      <w:bookmarkEnd w:id="20"/>
    </w:p>
    <w:p w:rsidRPr="00DF3B44" w:rsidR="005516F6" w:rsidP="009E4191" w:rsidRDefault="007A10F1" w14:paraId="65F8A976"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851FF5">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BDD36E" w14:textId="77777777" w:rsidR="003C60AA" w:rsidRDefault="003C60AA" w:rsidP="0010329A">
      <w:pPr>
        <w:spacing w:after="0" w:line="240" w:lineRule="auto"/>
      </w:pPr>
      <w:r>
        <w:separator/>
      </w:r>
    </w:p>
    <w:p w14:paraId="0E652C3C" w14:textId="77777777" w:rsidR="003C60AA" w:rsidRDefault="003C60AA"/>
  </w:endnote>
  <w:endnote w:type="continuationSeparator" w:id="0">
    <w:p w14:paraId="7BD1379E" w14:textId="77777777" w:rsidR="003C60AA" w:rsidRDefault="003C60AA" w:rsidP="0010329A">
      <w:pPr>
        <w:spacing w:after="0" w:line="240" w:lineRule="auto"/>
      </w:pPr>
      <w:r>
        <w:continuationSeparator/>
      </w:r>
    </w:p>
    <w:p w14:paraId="244FA3F5" w14:textId="77777777" w:rsidR="003C60AA" w:rsidRDefault="003C60AA"/>
  </w:endnote>
  <w:endnote w:type="continuationNotice" w:id="1">
    <w:p w14:paraId="3FB4DA70"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FC2BC"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535DE19" w14:textId="77777777" w:rsidR="00685035" w:rsidRPr="007B4AF7" w:rsidRDefault="001E3362"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6F1E2E">
              <w:rPr>
                <w:noProof/>
              </w:rPr>
              <w:t>LC-0472SA26.docx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A5511"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B6A6D3" w14:textId="77777777" w:rsidR="003C60AA" w:rsidRDefault="003C60AA" w:rsidP="0010329A">
      <w:pPr>
        <w:spacing w:after="0" w:line="240" w:lineRule="auto"/>
      </w:pPr>
      <w:r>
        <w:separator/>
      </w:r>
    </w:p>
    <w:p w14:paraId="0C2AC7C5" w14:textId="77777777" w:rsidR="003C60AA" w:rsidRDefault="003C60AA"/>
  </w:footnote>
  <w:footnote w:type="continuationSeparator" w:id="0">
    <w:p w14:paraId="58A473F2" w14:textId="77777777" w:rsidR="003C60AA" w:rsidRDefault="003C60AA" w:rsidP="0010329A">
      <w:pPr>
        <w:spacing w:after="0" w:line="240" w:lineRule="auto"/>
      </w:pPr>
      <w:r>
        <w:continuationSeparator/>
      </w:r>
    </w:p>
    <w:p w14:paraId="3800DF82" w14:textId="77777777" w:rsidR="003C60AA" w:rsidRDefault="003C60AA"/>
  </w:footnote>
  <w:footnote w:type="continuationNotice" w:id="1">
    <w:p w14:paraId="4128B110"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B11C1"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9589E"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0DEC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8"/>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268CA"/>
    <w:rsid w:val="00030409"/>
    <w:rsid w:val="00037F04"/>
    <w:rsid w:val="000404BF"/>
    <w:rsid w:val="00044B84"/>
    <w:rsid w:val="000479D0"/>
    <w:rsid w:val="0006464F"/>
    <w:rsid w:val="00066B54"/>
    <w:rsid w:val="00072FCD"/>
    <w:rsid w:val="00074A4F"/>
    <w:rsid w:val="00076CBE"/>
    <w:rsid w:val="00077B65"/>
    <w:rsid w:val="000A3C25"/>
    <w:rsid w:val="000A622F"/>
    <w:rsid w:val="000B4C02"/>
    <w:rsid w:val="000B5B4A"/>
    <w:rsid w:val="000B7FE1"/>
    <w:rsid w:val="000C3E88"/>
    <w:rsid w:val="000C46B9"/>
    <w:rsid w:val="000C58E4"/>
    <w:rsid w:val="000C6F9A"/>
    <w:rsid w:val="000D2F44"/>
    <w:rsid w:val="000D33E4"/>
    <w:rsid w:val="000E578A"/>
    <w:rsid w:val="000F2250"/>
    <w:rsid w:val="000F5B98"/>
    <w:rsid w:val="0010329A"/>
    <w:rsid w:val="001055EE"/>
    <w:rsid w:val="00105756"/>
    <w:rsid w:val="001164F9"/>
    <w:rsid w:val="0011719C"/>
    <w:rsid w:val="00121E7B"/>
    <w:rsid w:val="00140049"/>
    <w:rsid w:val="0016734D"/>
    <w:rsid w:val="00171601"/>
    <w:rsid w:val="001730EB"/>
    <w:rsid w:val="00173276"/>
    <w:rsid w:val="00176122"/>
    <w:rsid w:val="0019025B"/>
    <w:rsid w:val="00192AF7"/>
    <w:rsid w:val="00197366"/>
    <w:rsid w:val="001A136C"/>
    <w:rsid w:val="001B6DA2"/>
    <w:rsid w:val="001B7ACD"/>
    <w:rsid w:val="001C25EC"/>
    <w:rsid w:val="001D6FFD"/>
    <w:rsid w:val="001E1D89"/>
    <w:rsid w:val="001F2A41"/>
    <w:rsid w:val="001F313F"/>
    <w:rsid w:val="001F331D"/>
    <w:rsid w:val="001F394C"/>
    <w:rsid w:val="00200BEB"/>
    <w:rsid w:val="002038AA"/>
    <w:rsid w:val="002114C8"/>
    <w:rsid w:val="0021166F"/>
    <w:rsid w:val="002162DF"/>
    <w:rsid w:val="00230038"/>
    <w:rsid w:val="00233975"/>
    <w:rsid w:val="00236D73"/>
    <w:rsid w:val="00246535"/>
    <w:rsid w:val="00253DA1"/>
    <w:rsid w:val="00257F60"/>
    <w:rsid w:val="002625EA"/>
    <w:rsid w:val="00262AC5"/>
    <w:rsid w:val="00264AE9"/>
    <w:rsid w:val="00275AE6"/>
    <w:rsid w:val="002836D8"/>
    <w:rsid w:val="002A7989"/>
    <w:rsid w:val="002B02F3"/>
    <w:rsid w:val="002C3463"/>
    <w:rsid w:val="002D266D"/>
    <w:rsid w:val="002D5B3D"/>
    <w:rsid w:val="002D7447"/>
    <w:rsid w:val="002E315A"/>
    <w:rsid w:val="002E4F8C"/>
    <w:rsid w:val="002F560C"/>
    <w:rsid w:val="002F5847"/>
    <w:rsid w:val="003000F7"/>
    <w:rsid w:val="0030425A"/>
    <w:rsid w:val="003421F1"/>
    <w:rsid w:val="0034279C"/>
    <w:rsid w:val="00354F64"/>
    <w:rsid w:val="003559A1"/>
    <w:rsid w:val="00361563"/>
    <w:rsid w:val="00362723"/>
    <w:rsid w:val="00363D0F"/>
    <w:rsid w:val="00371D36"/>
    <w:rsid w:val="00373E17"/>
    <w:rsid w:val="003764F2"/>
    <w:rsid w:val="003775E6"/>
    <w:rsid w:val="00381998"/>
    <w:rsid w:val="0038338B"/>
    <w:rsid w:val="003A5F1C"/>
    <w:rsid w:val="003A6D9E"/>
    <w:rsid w:val="003C3E2E"/>
    <w:rsid w:val="003C60AA"/>
    <w:rsid w:val="003D4A3C"/>
    <w:rsid w:val="003D55B2"/>
    <w:rsid w:val="003E0033"/>
    <w:rsid w:val="003E37E1"/>
    <w:rsid w:val="003E5452"/>
    <w:rsid w:val="003E7165"/>
    <w:rsid w:val="003E7FF6"/>
    <w:rsid w:val="004046B5"/>
    <w:rsid w:val="00406F27"/>
    <w:rsid w:val="004141B8"/>
    <w:rsid w:val="004203B9"/>
    <w:rsid w:val="00432135"/>
    <w:rsid w:val="00446987"/>
    <w:rsid w:val="00446D28"/>
    <w:rsid w:val="0046410E"/>
    <w:rsid w:val="00466CD0"/>
    <w:rsid w:val="00473583"/>
    <w:rsid w:val="00477F32"/>
    <w:rsid w:val="00481850"/>
    <w:rsid w:val="004851A0"/>
    <w:rsid w:val="0048627F"/>
    <w:rsid w:val="004870A0"/>
    <w:rsid w:val="004932AB"/>
    <w:rsid w:val="00494BEF"/>
    <w:rsid w:val="004A5512"/>
    <w:rsid w:val="004A5ECF"/>
    <w:rsid w:val="004A6BE5"/>
    <w:rsid w:val="004B0C18"/>
    <w:rsid w:val="004C1A04"/>
    <w:rsid w:val="004C20BC"/>
    <w:rsid w:val="004C2AE0"/>
    <w:rsid w:val="004C4033"/>
    <w:rsid w:val="004C5C9A"/>
    <w:rsid w:val="004D1442"/>
    <w:rsid w:val="004D3DCB"/>
    <w:rsid w:val="004E1946"/>
    <w:rsid w:val="004E66E9"/>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64B58"/>
    <w:rsid w:val="00572281"/>
    <w:rsid w:val="005801DD"/>
    <w:rsid w:val="00592A40"/>
    <w:rsid w:val="005A28BC"/>
    <w:rsid w:val="005A5377"/>
    <w:rsid w:val="005B23CB"/>
    <w:rsid w:val="005B7817"/>
    <w:rsid w:val="005C06C8"/>
    <w:rsid w:val="005C23D7"/>
    <w:rsid w:val="005C40EB"/>
    <w:rsid w:val="005C63EB"/>
    <w:rsid w:val="005D02B4"/>
    <w:rsid w:val="005D3013"/>
    <w:rsid w:val="005E1E50"/>
    <w:rsid w:val="005E2B9C"/>
    <w:rsid w:val="005E3332"/>
    <w:rsid w:val="005F76B0"/>
    <w:rsid w:val="00603CB2"/>
    <w:rsid w:val="00604429"/>
    <w:rsid w:val="006067B0"/>
    <w:rsid w:val="00606A8B"/>
    <w:rsid w:val="00611EBA"/>
    <w:rsid w:val="006213A8"/>
    <w:rsid w:val="00623BEA"/>
    <w:rsid w:val="006325B7"/>
    <w:rsid w:val="006347E9"/>
    <w:rsid w:val="00637424"/>
    <w:rsid w:val="00640C87"/>
    <w:rsid w:val="006454BB"/>
    <w:rsid w:val="006462DD"/>
    <w:rsid w:val="00657CF4"/>
    <w:rsid w:val="00661463"/>
    <w:rsid w:val="00663B8D"/>
    <w:rsid w:val="00663E00"/>
    <w:rsid w:val="00664F48"/>
    <w:rsid w:val="00664FAD"/>
    <w:rsid w:val="006715B6"/>
    <w:rsid w:val="00672093"/>
    <w:rsid w:val="0067345B"/>
    <w:rsid w:val="00683986"/>
    <w:rsid w:val="00685035"/>
    <w:rsid w:val="00685770"/>
    <w:rsid w:val="00686DE3"/>
    <w:rsid w:val="00690DBA"/>
    <w:rsid w:val="0069213C"/>
    <w:rsid w:val="006964F9"/>
    <w:rsid w:val="006A395F"/>
    <w:rsid w:val="006A65E2"/>
    <w:rsid w:val="006B37BD"/>
    <w:rsid w:val="006C092D"/>
    <w:rsid w:val="006C099D"/>
    <w:rsid w:val="006C18F0"/>
    <w:rsid w:val="006C7E01"/>
    <w:rsid w:val="006D163F"/>
    <w:rsid w:val="006D64A5"/>
    <w:rsid w:val="006E0935"/>
    <w:rsid w:val="006E353F"/>
    <w:rsid w:val="006E35AB"/>
    <w:rsid w:val="006F1E2E"/>
    <w:rsid w:val="00711AA9"/>
    <w:rsid w:val="00722155"/>
    <w:rsid w:val="00730C87"/>
    <w:rsid w:val="00737F19"/>
    <w:rsid w:val="0074292C"/>
    <w:rsid w:val="007447E8"/>
    <w:rsid w:val="00782BF8"/>
    <w:rsid w:val="00783C75"/>
    <w:rsid w:val="007849D9"/>
    <w:rsid w:val="00787433"/>
    <w:rsid w:val="007A10F1"/>
    <w:rsid w:val="007A3D50"/>
    <w:rsid w:val="007B2D29"/>
    <w:rsid w:val="007B412F"/>
    <w:rsid w:val="007B4AF7"/>
    <w:rsid w:val="007B4DBF"/>
    <w:rsid w:val="007C5458"/>
    <w:rsid w:val="007D2C67"/>
    <w:rsid w:val="007E06BB"/>
    <w:rsid w:val="007F2484"/>
    <w:rsid w:val="007F50D1"/>
    <w:rsid w:val="00805D18"/>
    <w:rsid w:val="00813C65"/>
    <w:rsid w:val="00816D52"/>
    <w:rsid w:val="0082203D"/>
    <w:rsid w:val="00831048"/>
    <w:rsid w:val="00834272"/>
    <w:rsid w:val="008367E8"/>
    <w:rsid w:val="00845D70"/>
    <w:rsid w:val="0084783C"/>
    <w:rsid w:val="00851FF5"/>
    <w:rsid w:val="00856731"/>
    <w:rsid w:val="008625C1"/>
    <w:rsid w:val="0087671D"/>
    <w:rsid w:val="008806F9"/>
    <w:rsid w:val="00887957"/>
    <w:rsid w:val="008A57E3"/>
    <w:rsid w:val="008B5BF4"/>
    <w:rsid w:val="008C0CEE"/>
    <w:rsid w:val="008C1B18"/>
    <w:rsid w:val="008D3910"/>
    <w:rsid w:val="008D46EC"/>
    <w:rsid w:val="008E0E25"/>
    <w:rsid w:val="008E61A1"/>
    <w:rsid w:val="009031EF"/>
    <w:rsid w:val="00917EA3"/>
    <w:rsid w:val="00917EE0"/>
    <w:rsid w:val="00921C89"/>
    <w:rsid w:val="00926966"/>
    <w:rsid w:val="00926D03"/>
    <w:rsid w:val="00934036"/>
    <w:rsid w:val="00934889"/>
    <w:rsid w:val="0094541D"/>
    <w:rsid w:val="009473EA"/>
    <w:rsid w:val="00954E7E"/>
    <w:rsid w:val="009554D9"/>
    <w:rsid w:val="009572F9"/>
    <w:rsid w:val="00960D0F"/>
    <w:rsid w:val="009660E3"/>
    <w:rsid w:val="0098366F"/>
    <w:rsid w:val="00983A03"/>
    <w:rsid w:val="00986063"/>
    <w:rsid w:val="00991F67"/>
    <w:rsid w:val="00992876"/>
    <w:rsid w:val="00997118"/>
    <w:rsid w:val="009A0DCE"/>
    <w:rsid w:val="009A22CD"/>
    <w:rsid w:val="009A3E4B"/>
    <w:rsid w:val="009B35FD"/>
    <w:rsid w:val="009B6815"/>
    <w:rsid w:val="009D2967"/>
    <w:rsid w:val="009D3C2B"/>
    <w:rsid w:val="009E4191"/>
    <w:rsid w:val="009F2505"/>
    <w:rsid w:val="009F2AB1"/>
    <w:rsid w:val="009F4FAF"/>
    <w:rsid w:val="009F68F1"/>
    <w:rsid w:val="00A01178"/>
    <w:rsid w:val="00A04529"/>
    <w:rsid w:val="00A0584B"/>
    <w:rsid w:val="00A11216"/>
    <w:rsid w:val="00A17135"/>
    <w:rsid w:val="00A21A6F"/>
    <w:rsid w:val="00A24E56"/>
    <w:rsid w:val="00A26A62"/>
    <w:rsid w:val="00A356E2"/>
    <w:rsid w:val="00A35A9B"/>
    <w:rsid w:val="00A4070E"/>
    <w:rsid w:val="00A40CA0"/>
    <w:rsid w:val="00A504A7"/>
    <w:rsid w:val="00A53677"/>
    <w:rsid w:val="00A53BF2"/>
    <w:rsid w:val="00A566D0"/>
    <w:rsid w:val="00A60D68"/>
    <w:rsid w:val="00A73EFA"/>
    <w:rsid w:val="00A77A3B"/>
    <w:rsid w:val="00A8499E"/>
    <w:rsid w:val="00A92F6F"/>
    <w:rsid w:val="00A97523"/>
    <w:rsid w:val="00AA71F3"/>
    <w:rsid w:val="00AA7824"/>
    <w:rsid w:val="00AB0EEB"/>
    <w:rsid w:val="00AB0FA3"/>
    <w:rsid w:val="00AB73BF"/>
    <w:rsid w:val="00AC335C"/>
    <w:rsid w:val="00AC463E"/>
    <w:rsid w:val="00AD3BE2"/>
    <w:rsid w:val="00AD3E3D"/>
    <w:rsid w:val="00AD7DFC"/>
    <w:rsid w:val="00AE1EE4"/>
    <w:rsid w:val="00AE36EC"/>
    <w:rsid w:val="00AE7406"/>
    <w:rsid w:val="00AF1688"/>
    <w:rsid w:val="00AF46E6"/>
    <w:rsid w:val="00AF5139"/>
    <w:rsid w:val="00B06EDA"/>
    <w:rsid w:val="00B1161F"/>
    <w:rsid w:val="00B11661"/>
    <w:rsid w:val="00B14B10"/>
    <w:rsid w:val="00B32B4D"/>
    <w:rsid w:val="00B4137E"/>
    <w:rsid w:val="00B53F53"/>
    <w:rsid w:val="00B54DF7"/>
    <w:rsid w:val="00B56223"/>
    <w:rsid w:val="00B56E79"/>
    <w:rsid w:val="00B57AA7"/>
    <w:rsid w:val="00B6059C"/>
    <w:rsid w:val="00B61C7B"/>
    <w:rsid w:val="00B637AA"/>
    <w:rsid w:val="00B63BE2"/>
    <w:rsid w:val="00B7592C"/>
    <w:rsid w:val="00B809D3"/>
    <w:rsid w:val="00B84B66"/>
    <w:rsid w:val="00B85475"/>
    <w:rsid w:val="00B856B2"/>
    <w:rsid w:val="00B85FC6"/>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32948"/>
    <w:rsid w:val="00C35213"/>
    <w:rsid w:val="00C40531"/>
    <w:rsid w:val="00C45923"/>
    <w:rsid w:val="00C543E7"/>
    <w:rsid w:val="00C70225"/>
    <w:rsid w:val="00C70F1D"/>
    <w:rsid w:val="00C72198"/>
    <w:rsid w:val="00C73C7D"/>
    <w:rsid w:val="00C75005"/>
    <w:rsid w:val="00C9315E"/>
    <w:rsid w:val="00C970DF"/>
    <w:rsid w:val="00CA7E71"/>
    <w:rsid w:val="00CB2673"/>
    <w:rsid w:val="00CB5216"/>
    <w:rsid w:val="00CB5F21"/>
    <w:rsid w:val="00CB6FEA"/>
    <w:rsid w:val="00CB701D"/>
    <w:rsid w:val="00CC3F0E"/>
    <w:rsid w:val="00CD08C9"/>
    <w:rsid w:val="00CD1FE8"/>
    <w:rsid w:val="00CD38CD"/>
    <w:rsid w:val="00CD3E0C"/>
    <w:rsid w:val="00CD5565"/>
    <w:rsid w:val="00CD616C"/>
    <w:rsid w:val="00CE1F72"/>
    <w:rsid w:val="00CF68D6"/>
    <w:rsid w:val="00CF7B4A"/>
    <w:rsid w:val="00D009F8"/>
    <w:rsid w:val="00D01316"/>
    <w:rsid w:val="00D078DA"/>
    <w:rsid w:val="00D14995"/>
    <w:rsid w:val="00D173D0"/>
    <w:rsid w:val="00D204F2"/>
    <w:rsid w:val="00D2455C"/>
    <w:rsid w:val="00D25023"/>
    <w:rsid w:val="00D27F8C"/>
    <w:rsid w:val="00D33843"/>
    <w:rsid w:val="00D42280"/>
    <w:rsid w:val="00D54A6F"/>
    <w:rsid w:val="00D565BE"/>
    <w:rsid w:val="00D57D57"/>
    <w:rsid w:val="00D62E42"/>
    <w:rsid w:val="00D772FB"/>
    <w:rsid w:val="00D951DF"/>
    <w:rsid w:val="00DA1AA0"/>
    <w:rsid w:val="00DA512B"/>
    <w:rsid w:val="00DB698F"/>
    <w:rsid w:val="00DC44A8"/>
    <w:rsid w:val="00DE4B2D"/>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02F5"/>
    <w:rsid w:val="00E6378B"/>
    <w:rsid w:val="00E63EC3"/>
    <w:rsid w:val="00E64E7D"/>
    <w:rsid w:val="00E653DA"/>
    <w:rsid w:val="00E65958"/>
    <w:rsid w:val="00E70898"/>
    <w:rsid w:val="00E80289"/>
    <w:rsid w:val="00E84FE5"/>
    <w:rsid w:val="00E879A5"/>
    <w:rsid w:val="00E879FC"/>
    <w:rsid w:val="00E93E5C"/>
    <w:rsid w:val="00E95522"/>
    <w:rsid w:val="00EA2574"/>
    <w:rsid w:val="00EA2F1F"/>
    <w:rsid w:val="00EA3F2E"/>
    <w:rsid w:val="00EA57EC"/>
    <w:rsid w:val="00EA6208"/>
    <w:rsid w:val="00EB120E"/>
    <w:rsid w:val="00EB18A2"/>
    <w:rsid w:val="00EB34C8"/>
    <w:rsid w:val="00EB46E2"/>
    <w:rsid w:val="00EB5CED"/>
    <w:rsid w:val="00EC0045"/>
    <w:rsid w:val="00ED452E"/>
    <w:rsid w:val="00EE25C3"/>
    <w:rsid w:val="00EE3CDA"/>
    <w:rsid w:val="00EE55F5"/>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4DFC"/>
    <w:rsid w:val="00F657C5"/>
    <w:rsid w:val="00F900B4"/>
    <w:rsid w:val="00F934F7"/>
    <w:rsid w:val="00FA0F2E"/>
    <w:rsid w:val="00FA4DB1"/>
    <w:rsid w:val="00FB06F0"/>
    <w:rsid w:val="00FB14A1"/>
    <w:rsid w:val="00FB3F2A"/>
    <w:rsid w:val="00FC3593"/>
    <w:rsid w:val="00FD117D"/>
    <w:rsid w:val="00FD6FED"/>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61434A"/>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56B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B856B2"/>
    <w:rPr>
      <w:rFonts w:ascii="Times New Roman" w:hAnsi="Times New Roman"/>
      <w:b w:val="0"/>
      <w:i w:val="0"/>
      <w:sz w:val="22"/>
    </w:rPr>
  </w:style>
  <w:style w:type="paragraph" w:styleId="NoSpacing">
    <w:name w:val="No Spacing"/>
    <w:uiPriority w:val="1"/>
    <w:qFormat/>
    <w:rsid w:val="00B856B2"/>
    <w:pPr>
      <w:spacing w:after="0" w:line="240" w:lineRule="auto"/>
    </w:pPr>
  </w:style>
  <w:style w:type="paragraph" w:customStyle="1" w:styleId="scemptylineheader">
    <w:name w:val="sc_emptyline_header"/>
    <w:qFormat/>
    <w:rsid w:val="00B856B2"/>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B856B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B856B2"/>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B856B2"/>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B856B2"/>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B856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B856B2"/>
    <w:rPr>
      <w:color w:val="808080"/>
    </w:rPr>
  </w:style>
  <w:style w:type="paragraph" w:customStyle="1" w:styleId="scdirectionallanguage">
    <w:name w:val="sc_directional_language"/>
    <w:qFormat/>
    <w:rsid w:val="00B856B2"/>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B856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B856B2"/>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B856B2"/>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B856B2"/>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B856B2"/>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B856B2"/>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B856B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B856B2"/>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B856B2"/>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B856B2"/>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B856B2"/>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B856B2"/>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856B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856B2"/>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B856B2"/>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856B2"/>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B856B2"/>
    <w:rPr>
      <w:rFonts w:ascii="Times New Roman" w:hAnsi="Times New Roman"/>
      <w:color w:val="auto"/>
      <w:sz w:val="22"/>
    </w:rPr>
  </w:style>
  <w:style w:type="paragraph" w:customStyle="1" w:styleId="scclippagebillheader">
    <w:name w:val="sc_clip_page_bill_header"/>
    <w:qFormat/>
    <w:rsid w:val="00B856B2"/>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B856B2"/>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B856B2"/>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B856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56B2"/>
    <w:rPr>
      <w:lang w:val="en-US"/>
    </w:rPr>
  </w:style>
  <w:style w:type="paragraph" w:styleId="Footer">
    <w:name w:val="footer"/>
    <w:basedOn w:val="Normal"/>
    <w:link w:val="FooterChar"/>
    <w:uiPriority w:val="99"/>
    <w:unhideWhenUsed/>
    <w:rsid w:val="00B856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56B2"/>
    <w:rPr>
      <w:lang w:val="en-US"/>
    </w:rPr>
  </w:style>
  <w:style w:type="paragraph" w:styleId="ListParagraph">
    <w:name w:val="List Paragraph"/>
    <w:basedOn w:val="Normal"/>
    <w:uiPriority w:val="34"/>
    <w:qFormat/>
    <w:rsid w:val="00B856B2"/>
    <w:pPr>
      <w:ind w:left="720"/>
      <w:contextualSpacing/>
    </w:pPr>
  </w:style>
  <w:style w:type="paragraph" w:customStyle="1" w:styleId="scbillfooter">
    <w:name w:val="sc_bill_footer"/>
    <w:qFormat/>
    <w:rsid w:val="00B856B2"/>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B856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B856B2"/>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B856B2"/>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B856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B856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B856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B856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B856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B856B2"/>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B856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B856B2"/>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B856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B856B2"/>
    <w:pPr>
      <w:widowControl w:val="0"/>
      <w:suppressAutoHyphens/>
      <w:spacing w:after="0" w:line="360" w:lineRule="auto"/>
    </w:pPr>
    <w:rPr>
      <w:rFonts w:ascii="Times New Roman" w:hAnsi="Times New Roman"/>
      <w:lang w:val="en-US"/>
    </w:rPr>
  </w:style>
  <w:style w:type="paragraph" w:customStyle="1" w:styleId="sctableln">
    <w:name w:val="sc_table_ln"/>
    <w:qFormat/>
    <w:rsid w:val="00B856B2"/>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B856B2"/>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856B2"/>
    <w:rPr>
      <w:strike/>
      <w:dstrike w:val="0"/>
    </w:rPr>
  </w:style>
  <w:style w:type="character" w:customStyle="1" w:styleId="scinsert">
    <w:name w:val="sc_insert"/>
    <w:uiPriority w:val="1"/>
    <w:qFormat/>
    <w:rsid w:val="00B856B2"/>
    <w:rPr>
      <w:caps w:val="0"/>
      <w:smallCaps w:val="0"/>
      <w:strike w:val="0"/>
      <w:dstrike w:val="0"/>
      <w:vanish w:val="0"/>
      <w:u w:val="single"/>
      <w:vertAlign w:val="baseline"/>
    </w:rPr>
  </w:style>
  <w:style w:type="character" w:customStyle="1" w:styleId="scinsertred">
    <w:name w:val="sc_insert_red"/>
    <w:uiPriority w:val="1"/>
    <w:qFormat/>
    <w:rsid w:val="00B856B2"/>
    <w:rPr>
      <w:caps w:val="0"/>
      <w:smallCaps w:val="0"/>
      <w:strike w:val="0"/>
      <w:dstrike w:val="0"/>
      <w:vanish w:val="0"/>
      <w:color w:val="FF0000"/>
      <w:u w:val="single"/>
      <w:vertAlign w:val="baseline"/>
    </w:rPr>
  </w:style>
  <w:style w:type="character" w:customStyle="1" w:styleId="scinsertblue">
    <w:name w:val="sc_insert_blue"/>
    <w:uiPriority w:val="1"/>
    <w:qFormat/>
    <w:rsid w:val="00B856B2"/>
    <w:rPr>
      <w:caps w:val="0"/>
      <w:smallCaps w:val="0"/>
      <w:strike w:val="0"/>
      <w:dstrike w:val="0"/>
      <w:vanish w:val="0"/>
      <w:color w:val="0070C0"/>
      <w:u w:val="single"/>
      <w:vertAlign w:val="baseline"/>
    </w:rPr>
  </w:style>
  <w:style w:type="character" w:customStyle="1" w:styleId="scstrikered">
    <w:name w:val="sc_strike_red"/>
    <w:uiPriority w:val="1"/>
    <w:qFormat/>
    <w:rsid w:val="00B856B2"/>
    <w:rPr>
      <w:strike/>
      <w:dstrike w:val="0"/>
      <w:color w:val="FF0000"/>
    </w:rPr>
  </w:style>
  <w:style w:type="character" w:customStyle="1" w:styleId="scstrikeblue">
    <w:name w:val="sc_strike_blue"/>
    <w:uiPriority w:val="1"/>
    <w:qFormat/>
    <w:rsid w:val="00B856B2"/>
    <w:rPr>
      <w:strike/>
      <w:dstrike w:val="0"/>
      <w:color w:val="0070C0"/>
    </w:rPr>
  </w:style>
  <w:style w:type="character" w:customStyle="1" w:styleId="scinsertbluenounderline">
    <w:name w:val="sc_insert_blue_no_underline"/>
    <w:uiPriority w:val="1"/>
    <w:qFormat/>
    <w:rsid w:val="00B856B2"/>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B856B2"/>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B856B2"/>
    <w:rPr>
      <w:strike/>
      <w:dstrike w:val="0"/>
      <w:color w:val="0070C0"/>
      <w:lang w:val="en-US"/>
    </w:rPr>
  </w:style>
  <w:style w:type="character" w:customStyle="1" w:styleId="scstrikerednoncodified">
    <w:name w:val="sc_strike_red_non_codified"/>
    <w:uiPriority w:val="1"/>
    <w:qFormat/>
    <w:rsid w:val="00B856B2"/>
    <w:rPr>
      <w:strike/>
      <w:dstrike w:val="0"/>
      <w:color w:val="FF0000"/>
    </w:rPr>
  </w:style>
  <w:style w:type="paragraph" w:customStyle="1" w:styleId="scbillsiglines">
    <w:name w:val="sc_bill_sig_lines"/>
    <w:qFormat/>
    <w:rsid w:val="00B856B2"/>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B856B2"/>
    <w:rPr>
      <w:bdr w:val="none" w:sz="0" w:space="0" w:color="auto"/>
      <w:shd w:val="clear" w:color="auto" w:fill="FEC6C6"/>
    </w:rPr>
  </w:style>
  <w:style w:type="character" w:customStyle="1" w:styleId="screstoreblue">
    <w:name w:val="sc_restore_blue"/>
    <w:uiPriority w:val="1"/>
    <w:qFormat/>
    <w:rsid w:val="00B856B2"/>
    <w:rPr>
      <w:color w:val="4472C4" w:themeColor="accent1"/>
      <w:bdr w:val="none" w:sz="0" w:space="0" w:color="auto"/>
      <w:shd w:val="clear" w:color="auto" w:fill="auto"/>
    </w:rPr>
  </w:style>
  <w:style w:type="character" w:customStyle="1" w:styleId="screstorered">
    <w:name w:val="sc_restore_red"/>
    <w:uiPriority w:val="1"/>
    <w:qFormat/>
    <w:rsid w:val="00B856B2"/>
    <w:rPr>
      <w:color w:val="FF0000"/>
      <w:bdr w:val="none" w:sz="0" w:space="0" w:color="auto"/>
      <w:shd w:val="clear" w:color="auto" w:fill="auto"/>
    </w:rPr>
  </w:style>
  <w:style w:type="character" w:customStyle="1" w:styleId="scstrikenewblue">
    <w:name w:val="sc_strike_new_blue"/>
    <w:uiPriority w:val="1"/>
    <w:qFormat/>
    <w:rsid w:val="00B856B2"/>
    <w:rPr>
      <w:strike w:val="0"/>
      <w:dstrike/>
      <w:color w:val="0070C0"/>
      <w:u w:val="none"/>
    </w:rPr>
  </w:style>
  <w:style w:type="character" w:customStyle="1" w:styleId="scstrikenewred">
    <w:name w:val="sc_strike_new_red"/>
    <w:uiPriority w:val="1"/>
    <w:qFormat/>
    <w:rsid w:val="00B856B2"/>
    <w:rPr>
      <w:strike w:val="0"/>
      <w:dstrike/>
      <w:color w:val="FF0000"/>
      <w:u w:val="none"/>
    </w:rPr>
  </w:style>
  <w:style w:type="character" w:customStyle="1" w:styleId="scamendsenate">
    <w:name w:val="sc_amend_senate"/>
    <w:uiPriority w:val="1"/>
    <w:qFormat/>
    <w:rsid w:val="00B856B2"/>
    <w:rPr>
      <w:bdr w:val="none" w:sz="0" w:space="0" w:color="auto"/>
      <w:shd w:val="clear" w:color="auto" w:fill="FFF2CC" w:themeFill="accent4" w:themeFillTint="33"/>
    </w:rPr>
  </w:style>
  <w:style w:type="character" w:customStyle="1" w:styleId="scamendhouse">
    <w:name w:val="sc_amend_house"/>
    <w:uiPriority w:val="1"/>
    <w:qFormat/>
    <w:rsid w:val="00B856B2"/>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EE55F5"/>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780&amp;session=126&amp;summary=B" TargetMode="External" Id="R88f2bf6bd0434985" /><Relationship Type="http://schemas.openxmlformats.org/officeDocument/2006/relationships/hyperlink" Target="https://www.scstatehouse.gov/sess126_2025-2026/prever/780_20260113.docx" TargetMode="External" Id="Rb703b24a866c48f8" /><Relationship Type="http://schemas.openxmlformats.org/officeDocument/2006/relationships/hyperlink" Target="h:\sj\20260113.docx" TargetMode="External" Id="Rd6b58b0ab388426e" /><Relationship Type="http://schemas.openxmlformats.org/officeDocument/2006/relationships/hyperlink" Target="h:\sj\20260113.docx" TargetMode="External" Id="R6ebb7da9ef95456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0F5B98"/>
    <w:rsid w:val="00140B15"/>
    <w:rsid w:val="001B20DA"/>
    <w:rsid w:val="001C48FD"/>
    <w:rsid w:val="002A7C8A"/>
    <w:rsid w:val="002D4365"/>
    <w:rsid w:val="003E4FBC"/>
    <w:rsid w:val="003F4940"/>
    <w:rsid w:val="004C4033"/>
    <w:rsid w:val="004E2BB5"/>
    <w:rsid w:val="00580C56"/>
    <w:rsid w:val="006325B7"/>
    <w:rsid w:val="00672093"/>
    <w:rsid w:val="006B363F"/>
    <w:rsid w:val="007070D2"/>
    <w:rsid w:val="00730C87"/>
    <w:rsid w:val="00776F2C"/>
    <w:rsid w:val="008F7723"/>
    <w:rsid w:val="009031EF"/>
    <w:rsid w:val="00912A5F"/>
    <w:rsid w:val="00940EED"/>
    <w:rsid w:val="00985255"/>
    <w:rsid w:val="009C3651"/>
    <w:rsid w:val="00A51DBA"/>
    <w:rsid w:val="00B20DA6"/>
    <w:rsid w:val="00B457AF"/>
    <w:rsid w:val="00BF56C3"/>
    <w:rsid w:val="00C40531"/>
    <w:rsid w:val="00C818FB"/>
    <w:rsid w:val="00CB6FEA"/>
    <w:rsid w:val="00CC0451"/>
    <w:rsid w:val="00D6665C"/>
    <w:rsid w:val="00D900BD"/>
    <w:rsid w:val="00DE4B2D"/>
    <w:rsid w:val="00E76813"/>
    <w:rsid w:val="00EE25C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DOCUMENT_TYPE>Bill</DOCUMENT_TYPE>
  <FILENAME>&lt;&lt;filename&gt;&gt;</FILENAME>
  <ID>92d9dd47-8ec3-46c9-a40f-e787441c7e57</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2026-01-13T00:00:00-05:00</T_BILL_DT_VERSION>
  <T_BILL_D_INTRODATE>2026-01-13</T_BILL_D_INTRODATE>
  <T_BILL_D_SENATEINTRODATE>2026-01-13</T_BILL_D_SENATEINTRODATE>
  <T_BILL_N_INTERNALVERSIONNUMBER>1</T_BILL_N_INTERNALVERSIONNUMBER>
  <T_BILL_N_SESSION>126</T_BILL_N_SESSION>
  <T_BILL_N_VERSIONNUMBER>1</T_BILL_N_VERSIONNUMBER>
  <T_BILL_N_YEAR>2026</T_BILL_N_YEAR>
  <T_BILL_REQUEST_REQUEST>5e6952f3-3156-4cf0-bc11-d47855b0389b</T_BILL_REQUEST_REQUEST>
  <T_BILL_R_ORIGINALDRAFT>f77c3b0f-c75d-4e64-b539-1d6718dd8ffc</T_BILL_R_ORIGINALDRAFT>
  <T_BILL_SPONSOR_SPONSOR>e3f703ee-aef3-4ea0-b262-501dac211a8a</T_BILL_SPONSOR_SPONSOR>
  <T_BILL_T_BILLNAME>[0780]</T_BILL_T_BILLNAME>
  <T_BILL_T_BILLNUMBER>780</T_BILL_T_BILLNUMBER>
  <T_BILL_T_BILLTITLE>TO AMEND THE SOUTH CAROLINA CODE OF LAWS BY AMENDING SECTION 37‑23‑20, RELATING TO HIGH‑COST AND CONSUMER HOME LOANS DEFINITIONS, SO AS TO PROVIDE THAT THE CONVENTIONAL MORTGAGE RATE MEANS THE AVERAGE PRIME OFFER RATE.</T_BILL_T_BILLTITLE>
  <T_BILL_T_CHAMBER>senate</T_BILL_T_CHAMBER>
  <T_BILL_T_FILENAME> </T_BILL_T_FILENAME>
  <T_BILL_T_LEGTYPE>bill_statewide</T_BILL_T_LEGTYPE>
  <T_BILL_T_RATNUMBERSTRING>SNone</T_BILL_T_RATNUMBERSTRING>
  <T_BILL_T_SECTIONS>[{"SectionUUID":"e365be4d-5e10-42ee-8ab6-b4580a1bec3b","SectionName":"code_section","SectionNumber":1,"SectionType":"code_section","CodeSections":[{"CodeSectionBookmarkName":"cs_T37C23N20_4987ffecd","IsConstitutionSection":false,"Identity":"37-23-20","IsNew":false,"SubSections":[{"Level":1,"Identity":"T37C23N20S6","SubSectionBookmarkName":"ss_T37C23N20S6_lv1_51b72cdfd","IsNewSubSection":false,"SubSectionReplacement":""},{"Level":1,"Identity":"T37C23N20S15","SubSectionBookmarkName":"ss_T37C23N20S15_lv1_ff00d049c","IsNewSubSection":false,"SubSectionReplacement":""},{"Level":2,"Identity":"T37C23N20Sa","SubSectionBookmarkName":"ss_T37C23N20Sa_lv2_12fc1a816","IsNewSubSection":false,"SubSectionReplacement":""},{"Level":2,"Identity":"T37C23N20Sb","SubSectionBookmarkName":"ss_T37C23N20Sb_lv2_0c3ca8952","IsNewSubSection":false,"SubSectionReplacement":""},{"Level":2,"Identity":"T37C23N20SA","SubSectionBookmarkName":"ss_T37C23N20SA_lv2_cf609f805","IsNewSubSection":false,"SubSectionReplacement":""},{"Level":2,"Identity":"T37C23N20SB","SubSectionBookmarkName":"ss_T37C23N20SB_lv2_6ba9a85b9","IsNewSubSection":false,"SubSectionReplacement":""},{"Level":3,"Identity":"T37C23N20Si","SubSectionBookmarkName":"ss_T37C23N20Si_lv3_5ad516dcc","IsNewSubSection":false,"SubSectionReplacement":""},{"Level":3,"Identity":"T37C23N20Sii","SubSectionBookmarkName":"ss_T37C23N20Sii_lv3_0491011b0","IsNewSubSection":false,"SubSectionReplacement":""},{"Level":3,"Identity":"T37C23N20Siii","SubSectionBookmarkName":"ss_T37C23N20Siii_lv3_6d84b18f1","IsNewSubSection":false,"SubSectionReplacement":""},{"Level":2,"Identity":"T37C23N20SC","SubSectionBookmarkName":"ss_T37C23N20SC_lv2_bd6975bb6","IsNewSubSection":false,"SubSectionReplacement":""},{"Level":3,"Identity":"T37C23N20Si","SubSectionBookmarkName":"ss_T37C23N20Si_lv3_ba685ce58","IsNewSubSection":false,"SubSectionReplacement":""},{"Level":3,"Identity":"T37C23N20Sii","SubSectionBookmarkName":"ss_T37C23N20Sii_lv3_d57840b8c","IsNewSubSection":false,"SubSectionReplacement":""},{"Level":3,"Identity":"T37C23N20Siii","SubSectionBookmarkName":"ss_T37C23N20Siii_lv3_ad84f680c","IsNewSubSection":false,"SubSectionReplacement":""}],"TitleRelatedTo":"High-Cost and Consumer Home Loans Definitions","TitleSoAsTo":"provide that the conventional mortgage rate means the average prime offer rate","Deleted":false,"IsStricken":false}],"TitleText":"","DisableControls":false,"Deleted":false,"RepealItems":[],"SectionBookmarkName":"bs_num_1_36903b9ed"},{"SectionUUID":"8f03ca95-8faa-4d43-a9c2-8afc498075bd","SectionName":"standard_eff_date_section","SectionNumber":2,"SectionType":"drafting_clause","CodeSections":[],"TitleText":"","DisableControls":false,"Deleted":false,"RepealItems":[],"SectionBookmarkName":"bs_num_2_lastsection"}]</T_BILL_T_SECTIONS>
  <T_BILL_T_SUBJECT>Consumer Home Loans</T_BILL_T_SUBJECT>
  <T_BILL_UR_DRAFTER>samanthaallen@scstatehouse.gov</T_BILL_UR_DRAFTER>
  <T_BILL_UR_DRAFTINGASSISTANT>julienewboult@scstatehouse.gov</T_BILL_UR_DRAFTINGASSISTANT>
</lwb360Metadata>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16D9F867-1FBF-4DC2-B3F3-0A867B401F72}">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751</Words>
  <Characters>3863</Characters>
  <Application>Microsoft Office Word</Application>
  <DocSecurity>0</DocSecurity>
  <Lines>71</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Julie Newboult</cp:lastModifiedBy>
  <cp:revision>4</cp:revision>
  <cp:lastPrinted>2026-01-12T18:45:00Z</cp:lastPrinted>
  <dcterms:created xsi:type="dcterms:W3CDTF">2026-01-12T19:56:00Z</dcterms:created>
  <dcterms:modified xsi:type="dcterms:W3CDTF">2026-01-12T19:56:00Z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