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Bennett and Verdin</w:t>
      </w:r>
    </w:p>
    <w:p>
      <w:pPr>
        <w:widowControl w:val="false"/>
        <w:spacing w:after="0"/>
        <w:jc w:val="left"/>
      </w:pPr>
      <w:r>
        <w:rPr>
          <w:rFonts w:ascii="Times New Roman"/>
          <w:sz w:val="22"/>
        </w:rPr>
        <w:t xml:space="preserve">Document Path: LC-0389DG26.docx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97477815dcd64f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7ae0c5018048f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501A2" w14:paraId="4E30D107" w14:textId="2EC345CC">
          <w:pPr>
            <w:pStyle w:val="scbilltitle"/>
          </w:pPr>
          <w:r>
            <w:t>TO AMEND SECTIONS 1 AND 2 OF ARTICLE X, OF THE CONSTITUTION OF SOUTH CAROLINA, 1895, BOTH RELATING TO PROPERTY TAX, SO AS TO PROVIDE THAT THE GENERAL ASSEMBLY MAY DETERMINE BY LAW THE CLASSIFICATIONS AND ASSESSMENT RATIOS OF SUCH PROPERTY.</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83646eaf3" w:id="0"/>
      <w:r w:rsidRPr="00105D52">
        <w:t>B</w:t>
      </w:r>
      <w:bookmarkEnd w:id="0"/>
      <w:r w:rsidRPr="00105D52">
        <w:t>e it enacted by the General Assembly of the State of South Carolina:</w:t>
      </w:r>
    </w:p>
    <w:p w:rsidRPr="00105D52" w:rsidR="009C43C3" w:rsidP="00351A09" w:rsidRDefault="009C43C3" w14:paraId="790F6824" w14:textId="5F41C333">
      <w:pPr>
        <w:pStyle w:val="scemptyline"/>
      </w:pPr>
    </w:p>
    <w:p w:rsidR="008538EC" w:rsidP="008538EC" w:rsidRDefault="007A30E3" w14:paraId="58CEA739" w14:textId="77777777">
      <w:pPr>
        <w:pStyle w:val="scdirectionallanguage"/>
      </w:pPr>
      <w:bookmarkStart w:name="bs_num_1_e4265b870" w:id="1"/>
      <w:r>
        <w:t>S</w:t>
      </w:r>
      <w:bookmarkEnd w:id="1"/>
      <w:r>
        <w:t>ECTION 1.</w:t>
      </w:r>
      <w:r>
        <w:tab/>
      </w:r>
      <w:bookmarkStart w:name="dl_c78df700e" w:id="2"/>
      <w:r w:rsidR="008538EC">
        <w:t>I</w:t>
      </w:r>
      <w:bookmarkEnd w:id="2"/>
      <w:r w:rsidR="008538EC">
        <w:t>t is proposed that Section 1, Article X of the Constitution of this State be amended to read:</w:t>
      </w:r>
    </w:p>
    <w:p w:rsidR="008538EC" w:rsidP="008538EC" w:rsidRDefault="008538EC" w14:paraId="05A124A3" w14:textId="77777777">
      <w:pPr>
        <w:pStyle w:val="sccodifiedsection"/>
      </w:pPr>
    </w:p>
    <w:p w:rsidR="008538EC" w:rsidDel="006E74B3" w:rsidP="006E74B3" w:rsidRDefault="008538EC" w14:paraId="40DF5BE4" w14:textId="26A0E099">
      <w:pPr>
        <w:pStyle w:val="sccodifiedsection"/>
        <w:rPr>
          <w:rStyle w:val="scstrike"/>
        </w:rPr>
      </w:pPr>
      <w:r>
        <w:tab/>
      </w:r>
      <w:bookmarkStart w:name="cs_ArtXSec1_51db4917c" w:id="3"/>
      <w:r>
        <w:t>S</w:t>
      </w:r>
      <w:bookmarkEnd w:id="3"/>
      <w:r>
        <w:t xml:space="preserve">ection 1. The General Assembly may provide for the ad valorem taxation by the State or any of its subdivisions of all real and personal property. The assessment of all property shall be equal and uniform in the </w:t>
      </w:r>
      <w:r w:rsidR="006E74B3">
        <w:rPr>
          <w:rStyle w:val="scinsert"/>
        </w:rPr>
        <w:t xml:space="preserve">classifications established by the General </w:t>
      </w:r>
      <w:proofErr w:type="spellStart"/>
      <w:r w:rsidR="006E74B3">
        <w:rPr>
          <w:rStyle w:val="scinsert"/>
        </w:rPr>
        <w:t>Assembly.</w:t>
      </w:r>
      <w:r>
        <w:rPr>
          <w:rStyle w:val="scstrike"/>
        </w:rPr>
        <w:t>following</w:t>
      </w:r>
      <w:proofErr w:type="spellEnd"/>
      <w:r>
        <w:rPr>
          <w:rStyle w:val="scstrike"/>
        </w:rPr>
        <w:t xml:space="preserve"> classifications:</w:t>
      </w:r>
    </w:p>
    <w:p w:rsidR="008538EC" w:rsidDel="006E74B3" w:rsidP="006E74B3" w:rsidRDefault="008538EC" w14:paraId="7D7F7884" w14:textId="7F0E7AA5">
      <w:pPr>
        <w:pStyle w:val="sccodifiedsection"/>
        <w:rPr>
          <w:rStyle w:val="scstrike"/>
        </w:rPr>
      </w:pPr>
      <w:r>
        <w:rPr>
          <w:rStyle w:val="scstrike"/>
        </w:rPr>
        <w:tab/>
      </w:r>
      <w:bookmarkStart w:name="ss_ArtXSec1S1_lv1_027d105fR" w:id="4"/>
      <w:r>
        <w:rPr>
          <w:rStyle w:val="scstrike"/>
        </w:rPr>
        <w:t>(</w:t>
      </w:r>
      <w:bookmarkEnd w:id="4"/>
      <w:r>
        <w:rPr>
          <w:rStyle w:val="scstrike"/>
        </w:rPr>
        <w:t>1) All real and personal property owned by or leased to manufacturers, utilities and mining operations and used by the manufacturer, utility or mining operation, in the conduct of such business shall be taxed on an assessment equal to ten and one-half percent of the fair market value of such property.</w:t>
      </w:r>
    </w:p>
    <w:p w:rsidR="008538EC" w:rsidDel="006E74B3" w:rsidP="006E74B3" w:rsidRDefault="008538EC" w14:paraId="45CA100F" w14:textId="0B2BA9AC">
      <w:pPr>
        <w:pStyle w:val="sccodifiedsection"/>
        <w:rPr>
          <w:rStyle w:val="scstrike"/>
        </w:rPr>
      </w:pPr>
      <w:r>
        <w:rPr>
          <w:rStyle w:val="scstrike"/>
        </w:rPr>
        <w:tab/>
      </w:r>
      <w:bookmarkStart w:name="ss_ArtXSec1S2_lv1_e591c3f8R" w:id="5"/>
      <w:r>
        <w:rPr>
          <w:rStyle w:val="scstrike"/>
        </w:rPr>
        <w:t>(</w:t>
      </w:r>
      <w:bookmarkEnd w:id="5"/>
      <w:r>
        <w:rPr>
          <w:rStyle w:val="scstrike"/>
        </w:rPr>
        <w:t>2) All real and personal property owned by or leased to companies primarily engaged in transportation for hire of persons or property and used by the company in the conduct of such business shall be taxed on an assessment equal to nine and one-half percent of the fair market value of such property.</w:t>
      </w:r>
    </w:p>
    <w:p w:rsidR="008538EC" w:rsidDel="006E74B3" w:rsidP="006E74B3" w:rsidRDefault="008538EC" w14:paraId="188C8454" w14:textId="47C9628C">
      <w:pPr>
        <w:pStyle w:val="sccodifiedsection"/>
        <w:rPr>
          <w:rStyle w:val="scstrike"/>
        </w:rPr>
      </w:pPr>
      <w:r>
        <w:rPr>
          <w:rStyle w:val="scstrike"/>
        </w:rPr>
        <w:tab/>
      </w:r>
      <w:bookmarkStart w:name="ss_ArtXSec1S3_lv1_9de66081R" w:id="6"/>
      <w:r>
        <w:rPr>
          <w:rStyle w:val="scstrike"/>
        </w:rPr>
        <w:t>(</w:t>
      </w:r>
      <w:bookmarkEnd w:id="6"/>
      <w:r>
        <w:rPr>
          <w:rStyle w:val="scstrike"/>
        </w:rPr>
        <w:t>3) The legal residence and not more than five acres contiguous thereto shall be taxed on an assessment equal to four percent of the fair market value of such property.</w:t>
      </w:r>
    </w:p>
    <w:p w:rsidR="008538EC" w:rsidDel="006E74B3" w:rsidP="006E74B3" w:rsidRDefault="008538EC" w14:paraId="3769E3A2" w14:textId="223C9367">
      <w:pPr>
        <w:pStyle w:val="sccodifiedsection"/>
        <w:rPr>
          <w:rStyle w:val="scstrike"/>
        </w:rPr>
      </w:pPr>
      <w:r>
        <w:rPr>
          <w:rStyle w:val="scstrike"/>
        </w:rPr>
        <w:tab/>
      </w:r>
      <w:bookmarkStart w:name="ss_ArtXSec1S4_lv1_a3451341R" w:id="7"/>
      <w:r>
        <w:rPr>
          <w:rStyle w:val="scstrike"/>
        </w:rPr>
        <w:t>(</w:t>
      </w:r>
      <w:bookmarkEnd w:id="7"/>
      <w:r>
        <w:rPr>
          <w:rStyle w:val="scstrike"/>
        </w:rPr>
        <w:t xml:space="preserve">4) Agricultural real property which is </w:t>
      </w:r>
      <w:proofErr w:type="gramStart"/>
      <w:r>
        <w:rPr>
          <w:rStyle w:val="scstrike"/>
        </w:rPr>
        <w:t>actually used</w:t>
      </w:r>
      <w:proofErr w:type="gramEnd"/>
      <w:r>
        <w:rPr>
          <w:rStyle w:val="scstrike"/>
        </w:rPr>
        <w:t xml:space="preserve"> for such purposes shall be taxed on an assessment equal to:</w:t>
      </w:r>
    </w:p>
    <w:p w:rsidR="008538EC" w:rsidDel="006E74B3" w:rsidP="006E74B3" w:rsidRDefault="008538EC" w14:paraId="02471F35" w14:textId="6B72665E">
      <w:pPr>
        <w:pStyle w:val="sccodifiedsection"/>
        <w:rPr>
          <w:rStyle w:val="scstrike"/>
        </w:rPr>
      </w:pPr>
      <w:r>
        <w:rPr>
          <w:rStyle w:val="scstrike"/>
        </w:rPr>
        <w:tab/>
      </w:r>
      <w:bookmarkStart w:name="ss_ArtXSec1SA_lv2_8d4d28bcR" w:id="8"/>
      <w:r>
        <w:rPr>
          <w:rStyle w:val="scstrike"/>
        </w:rPr>
        <w:t>(</w:t>
      </w:r>
      <w:bookmarkEnd w:id="8"/>
      <w:r>
        <w:rPr>
          <w:rStyle w:val="scstrike"/>
        </w:rPr>
        <w:t>A) four percent of its value for such purposes when owned or leased to individuals or partnerships and certain corporations which do not:</w:t>
      </w:r>
    </w:p>
    <w:p w:rsidR="008538EC" w:rsidDel="006E74B3" w:rsidP="006E74B3" w:rsidRDefault="008538EC" w14:paraId="6D2854B6" w14:textId="6089F996">
      <w:pPr>
        <w:pStyle w:val="sccodifiedsection"/>
        <w:rPr>
          <w:rStyle w:val="scstrike"/>
        </w:rPr>
      </w:pPr>
      <w:r>
        <w:rPr>
          <w:rStyle w:val="scstrike"/>
        </w:rPr>
        <w:tab/>
      </w:r>
      <w:bookmarkStart w:name="ss_ArtXSec1Si_lv3_6438edd2R" w:id="9"/>
      <w:r>
        <w:rPr>
          <w:rStyle w:val="scstrike"/>
        </w:rPr>
        <w:t>(</w:t>
      </w:r>
      <w:bookmarkEnd w:id="9"/>
      <w:proofErr w:type="spellStart"/>
      <w:r>
        <w:rPr>
          <w:rStyle w:val="scstrike"/>
        </w:rPr>
        <w:t>i</w:t>
      </w:r>
      <w:proofErr w:type="spellEnd"/>
      <w:r>
        <w:rPr>
          <w:rStyle w:val="scstrike"/>
        </w:rPr>
        <w:t xml:space="preserve">) have more than ten </w:t>
      </w:r>
      <w:proofErr w:type="gramStart"/>
      <w:r>
        <w:rPr>
          <w:rStyle w:val="scstrike"/>
        </w:rPr>
        <w:t>shareholders;</w:t>
      </w:r>
      <w:proofErr w:type="gramEnd"/>
    </w:p>
    <w:p w:rsidR="008538EC" w:rsidDel="006E74B3" w:rsidP="006E74B3" w:rsidRDefault="008538EC" w14:paraId="17AA561C" w14:textId="2A7E7AC7">
      <w:pPr>
        <w:pStyle w:val="sccodifiedsection"/>
        <w:rPr>
          <w:rStyle w:val="scstrike"/>
        </w:rPr>
      </w:pPr>
      <w:r>
        <w:rPr>
          <w:rStyle w:val="scstrike"/>
        </w:rPr>
        <w:tab/>
      </w:r>
      <w:bookmarkStart w:name="ss_ArtXSec1Sii_lv3_8ff69fb8R" w:id="10"/>
      <w:r>
        <w:rPr>
          <w:rStyle w:val="scstrike"/>
        </w:rPr>
        <w:t>(</w:t>
      </w:r>
      <w:bookmarkEnd w:id="10"/>
      <w:r>
        <w:rPr>
          <w:rStyle w:val="scstrike"/>
        </w:rPr>
        <w:t xml:space="preserve">ii) have as a shareholder a person (other than an estate) who is not an </w:t>
      </w:r>
      <w:proofErr w:type="gramStart"/>
      <w:r>
        <w:rPr>
          <w:rStyle w:val="scstrike"/>
        </w:rPr>
        <w:t>individual;</w:t>
      </w:r>
      <w:proofErr w:type="gramEnd"/>
    </w:p>
    <w:p w:rsidR="00BE3FA0" w:rsidP="006E74B3" w:rsidRDefault="008538EC" w14:paraId="02A82086" w14:textId="77777777">
      <w:pPr>
        <w:pStyle w:val="sccodifiedsection"/>
        <w:sectPr w:rsidR="00BE3FA0" w:rsidSect="00BE3F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r>
        <w:rPr>
          <w:rStyle w:val="scstrike"/>
        </w:rPr>
        <w:tab/>
      </w:r>
      <w:bookmarkStart w:name="ss_ArtXSec1Siii_lv3_7dfc6582R" w:id="11"/>
      <w:r>
        <w:rPr>
          <w:rStyle w:val="scstrike"/>
        </w:rPr>
        <w:t>(</w:t>
      </w:r>
      <w:bookmarkEnd w:id="11"/>
      <w:r>
        <w:rPr>
          <w:rStyle w:val="scstrike"/>
        </w:rPr>
        <w:t>iii) have a nonresident alien as a shareholder; and</w:t>
      </w:r>
    </w:p>
    <w:p w:rsidR="008538EC" w:rsidDel="006E74B3" w:rsidP="006E74B3" w:rsidRDefault="008538EC" w14:paraId="75D82290" w14:textId="11801B47">
      <w:pPr>
        <w:pStyle w:val="sccodifiedsection"/>
        <w:rPr>
          <w:rStyle w:val="scstrike"/>
        </w:rPr>
      </w:pPr>
    </w:p>
    <w:p w:rsidR="008538EC" w:rsidDel="006E74B3" w:rsidP="006E74B3" w:rsidRDefault="008538EC" w14:paraId="0EF38A03" w14:textId="61EB809F">
      <w:pPr>
        <w:pStyle w:val="sccodifiedsection"/>
        <w:rPr>
          <w:rStyle w:val="scstrike"/>
        </w:rPr>
      </w:pPr>
      <w:r>
        <w:rPr>
          <w:rStyle w:val="scstrike"/>
        </w:rPr>
        <w:tab/>
      </w:r>
      <w:bookmarkStart w:name="ss_ArtXSec1Siv_lv3_469cf919R" w:id="12"/>
      <w:r>
        <w:rPr>
          <w:rStyle w:val="scstrike"/>
        </w:rPr>
        <w:t>(</w:t>
      </w:r>
      <w:bookmarkEnd w:id="12"/>
      <w:r>
        <w:rPr>
          <w:rStyle w:val="scstrike"/>
        </w:rPr>
        <w:t>iv) have more than one class of stock.</w:t>
      </w:r>
    </w:p>
    <w:p w:rsidR="008538EC" w:rsidDel="006E74B3" w:rsidP="006E74B3" w:rsidRDefault="008538EC" w14:paraId="6717E2CA" w14:textId="2C1E557E">
      <w:pPr>
        <w:pStyle w:val="sccodifiedsection"/>
        <w:rPr>
          <w:rStyle w:val="scstrike"/>
        </w:rPr>
      </w:pPr>
      <w:r>
        <w:rPr>
          <w:rStyle w:val="scstrike"/>
        </w:rPr>
        <w:tab/>
      </w:r>
      <w:bookmarkStart w:name="ss_ArtXSec1SB_lv2_842519ebR" w:id="13"/>
      <w:r>
        <w:rPr>
          <w:rStyle w:val="scstrike"/>
        </w:rPr>
        <w:t>(</w:t>
      </w:r>
      <w:bookmarkEnd w:id="13"/>
      <w:r>
        <w:rPr>
          <w:rStyle w:val="scstrike"/>
        </w:rPr>
        <w:t xml:space="preserve">B) six percent of its value for such purposes when owned or leased to corporations, except for certain corporations specified in (A) above. </w:t>
      </w:r>
      <w:proofErr w:type="gramStart"/>
      <w:r>
        <w:rPr>
          <w:rStyle w:val="scstrike"/>
        </w:rPr>
        <w:t>Provided,</w:t>
      </w:r>
      <w:proofErr w:type="gramEnd"/>
      <w:r>
        <w:rPr>
          <w:rStyle w:val="scstrike"/>
        </w:rPr>
        <w:t xml:space="preserve"> that the General Assembly shall by general law provide for a penalty system on </w:t>
      </w:r>
      <w:proofErr w:type="gramStart"/>
      <w:r>
        <w:rPr>
          <w:rStyle w:val="scstrike"/>
        </w:rPr>
        <w:t>lands</w:t>
      </w:r>
      <w:proofErr w:type="gramEnd"/>
      <w:r>
        <w:rPr>
          <w:rStyle w:val="scstrike"/>
        </w:rPr>
        <w:t xml:space="preserve"> classified as agricultural lands to </w:t>
      </w:r>
      <w:proofErr w:type="gramStart"/>
      <w:r>
        <w:rPr>
          <w:rStyle w:val="scstrike"/>
        </w:rPr>
        <w:t>insure</w:t>
      </w:r>
      <w:proofErr w:type="gramEnd"/>
      <w:r>
        <w:rPr>
          <w:rStyle w:val="scstrike"/>
        </w:rPr>
        <w:t xml:space="preserve"> the proper utilization of this classification.</w:t>
      </w:r>
    </w:p>
    <w:p w:rsidR="008538EC" w:rsidDel="006E74B3" w:rsidP="006E74B3" w:rsidRDefault="008538EC" w14:paraId="1743B436" w14:textId="1E021017">
      <w:pPr>
        <w:pStyle w:val="sccodifiedsection"/>
        <w:rPr>
          <w:rStyle w:val="scstrike"/>
        </w:rPr>
      </w:pPr>
      <w:r>
        <w:rPr>
          <w:rStyle w:val="scstrike"/>
        </w:rPr>
        <w:tab/>
      </w:r>
      <w:bookmarkStart w:name="ss_ArtXSec1S5_lv1_51654829R" w:id="14"/>
      <w:r>
        <w:rPr>
          <w:rStyle w:val="scstrike"/>
        </w:rPr>
        <w:t>(</w:t>
      </w:r>
      <w:bookmarkEnd w:id="14"/>
      <w:r>
        <w:rPr>
          <w:rStyle w:val="scstrike"/>
        </w:rPr>
        <w:t>5) All other real property not herein provided for shall be taxed on an assessment equal to six percent of the fair market value of such property.</w:t>
      </w:r>
    </w:p>
    <w:p w:rsidR="008538EC" w:rsidDel="006E74B3" w:rsidP="006E74B3" w:rsidRDefault="008538EC" w14:paraId="14D211A0" w14:textId="5D8060D2">
      <w:pPr>
        <w:pStyle w:val="sccodifiedsection"/>
        <w:rPr>
          <w:rStyle w:val="scstrike"/>
        </w:rPr>
      </w:pPr>
      <w:r>
        <w:rPr>
          <w:rStyle w:val="scstrike"/>
        </w:rPr>
        <w:tab/>
      </w:r>
      <w:bookmarkStart w:name="ss_ArtXSec1S6_lv1_a1ece7f4R" w:id="15"/>
      <w:r>
        <w:rPr>
          <w:rStyle w:val="scstrike"/>
        </w:rPr>
        <w:t>(</w:t>
      </w:r>
      <w:bookmarkEnd w:id="15"/>
      <w:r>
        <w:rPr>
          <w:rStyle w:val="scstrike"/>
        </w:rPr>
        <w:t>6) All inventories of business establishments shall be taxed on an assessment equal to six percent of the fair market value of such property.</w:t>
      </w:r>
    </w:p>
    <w:p w:rsidR="008538EC" w:rsidDel="006E74B3" w:rsidP="006E74B3" w:rsidRDefault="008538EC" w14:paraId="08DA6986" w14:textId="63193E95">
      <w:pPr>
        <w:pStyle w:val="sccodifiedsection"/>
        <w:rPr>
          <w:rStyle w:val="scstrike"/>
        </w:rPr>
      </w:pPr>
      <w:r>
        <w:rPr>
          <w:rStyle w:val="scstrike"/>
        </w:rPr>
        <w:tab/>
      </w:r>
      <w:bookmarkStart w:name="ss_ArtXSec1S7_lv1_8accf9bcR" w:id="16"/>
      <w:r>
        <w:rPr>
          <w:rStyle w:val="scstrike"/>
        </w:rPr>
        <w:t>(</w:t>
      </w:r>
      <w:bookmarkEnd w:id="16"/>
      <w:r>
        <w:rPr>
          <w:rStyle w:val="scstrike"/>
        </w:rPr>
        <w:t>7) All farm machinery and equipment except motor vehicles licensed for use on the highways owned by farmers and used on agricultural lands shall be taxed on an assessment equal to five percent of the fair market value.</w:t>
      </w:r>
    </w:p>
    <w:p w:rsidR="008538EC" w:rsidDel="006E74B3" w:rsidP="006E74B3" w:rsidRDefault="008538EC" w14:paraId="5F47F6B5" w14:textId="6858080D">
      <w:pPr>
        <w:pStyle w:val="sccodifiedsection"/>
        <w:rPr>
          <w:rStyle w:val="scstrike"/>
        </w:rPr>
      </w:pPr>
      <w:r>
        <w:rPr>
          <w:rStyle w:val="scstrike"/>
        </w:rPr>
        <w:tab/>
      </w:r>
      <w:bookmarkStart w:name="ss_ArtXSec1S8_lv1_mmmmf9bcR" w:id="17"/>
      <w:proofErr w:type="gramStart"/>
      <w:r>
        <w:rPr>
          <w:rStyle w:val="scstrike"/>
        </w:rPr>
        <w:t>(</w:t>
      </w:r>
      <w:bookmarkEnd w:id="17"/>
      <w:r>
        <w:rPr>
          <w:rStyle w:val="scstrike"/>
        </w:rPr>
        <w:t>8)(A) Except</w:t>
      </w:r>
      <w:proofErr w:type="gramEnd"/>
      <w:r>
        <w:rPr>
          <w:rStyle w:val="scstrike"/>
        </w:rPr>
        <w:t xml:space="preserve"> as provided in subitem (B) of this item, all other personal property must be taxed on an assessment equal to ten and one-half percent of the fair market value of the property.</w:t>
      </w:r>
    </w:p>
    <w:p w:rsidR="008538EC" w:rsidDel="006E74B3" w:rsidP="006E74B3" w:rsidRDefault="008538EC" w14:paraId="78C7521E" w14:textId="0612BB81">
      <w:pPr>
        <w:pStyle w:val="sccodifiedsection"/>
        <w:rPr>
          <w:rStyle w:val="scstrike"/>
        </w:rPr>
      </w:pPr>
      <w:r>
        <w:rPr>
          <w:rStyle w:val="scstrike"/>
        </w:rPr>
        <w:tab/>
      </w:r>
      <w:bookmarkStart w:name="ss_ArtXSec1SB_lv2_ca3f362bR" w:id="18"/>
      <w:r>
        <w:rPr>
          <w:rStyle w:val="scstrike"/>
        </w:rPr>
        <w:t>(</w:t>
      </w:r>
      <w:bookmarkEnd w:id="18"/>
      <w:r>
        <w:rPr>
          <w:rStyle w:val="scstrike"/>
        </w:rPr>
        <w:t>B)</w:t>
      </w:r>
      <w:bookmarkStart w:name="ss_ArtXSec1S1_lv1_7f3e1df7R" w:id="19"/>
      <w:r>
        <w:rPr>
          <w:rStyle w:val="scstrike"/>
        </w:rPr>
        <w:t>(</w:t>
      </w:r>
      <w:bookmarkEnd w:id="19"/>
      <w:r>
        <w:rPr>
          <w:rStyle w:val="scstrike"/>
        </w:rPr>
        <w:t>1) Personal motor vehicles which must be titled by a state or federal agency, limited to passenger motor vehicles and pickup trucks, as defined by law, must be taxed on an assessment equal to the following percentage of fair market value of the property:</w:t>
      </w:r>
    </w:p>
    <w:tbl>
      <w:tblPr>
        <w:tblW w:w="9757" w:type="dxa"/>
        <w:tblInd w:w="-720" w:type="dxa"/>
        <w:tblLayout w:type="fixed"/>
        <w:tblLook w:val="0000" w:firstRow="0" w:lastRow="0" w:firstColumn="0" w:lastColumn="0" w:noHBand="0" w:noVBand="0"/>
        <w:tblDescription w:val="import_1768228663963"/>
      </w:tblPr>
      <w:tblGrid>
        <w:gridCol w:w="601"/>
        <w:gridCol w:w="4578"/>
        <w:gridCol w:w="4578"/>
      </w:tblGrid>
      <w:tr w:rsidRPr="008538EC" w:rsidR="008538EC" w:rsidDel="006E74B3" w:rsidTr="008538EC" w14:paraId="6009BA63" w14:textId="004014AF">
        <w:trPr>
          <w:cantSplit/>
        </w:trPr>
        <w:tc>
          <w:tcPr>
            <w:tcW w:w="601" w:type="dxa"/>
            <w:tcBorders>
              <w:right w:val="single" w:color="auto" w:sz="4" w:space="0"/>
            </w:tcBorders>
            <w:tcMar>
              <w:left w:w="0" w:type="dxa"/>
              <w:right w:w="244" w:type="dxa"/>
            </w:tcMar>
          </w:tcPr>
          <w:p w:rsidRPr="008538EC" w:rsidR="008538EC" w:rsidDel="006E74B3" w:rsidP="006E74B3" w:rsidRDefault="00BE3FA0" w14:paraId="6EE8DD4F" w14:textId="632C47EE">
            <w:pPr>
              <w:pStyle w:val="sccodifiedsection"/>
              <w:rPr>
                <w:rStyle w:val="scstrike"/>
              </w:rPr>
            </w:pPr>
            <w:r>
              <w:t>19</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4393E03C" w14:textId="1B74E197">
            <w:pPr>
              <w:pStyle w:val="sccodifiedsection"/>
              <w:rPr>
                <w:rStyle w:val="scstrike"/>
              </w:rPr>
            </w:pPr>
            <w:r w:rsidRPr="008538EC">
              <w:rPr>
                <w:rStyle w:val="scstrike"/>
              </w:rPr>
              <w:t>Property Tax Year</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B0E402E" w14:textId="700EBB9B">
            <w:pPr>
              <w:pStyle w:val="sccodifiedsection"/>
              <w:rPr>
                <w:rStyle w:val="scstrike"/>
              </w:rPr>
            </w:pPr>
            <w:r w:rsidRPr="008538EC">
              <w:rPr>
                <w:rStyle w:val="scstrike"/>
              </w:rPr>
              <w:t>Percentage</w:t>
            </w:r>
          </w:p>
        </w:tc>
      </w:tr>
      <w:tr w:rsidRPr="008538EC" w:rsidR="008538EC" w:rsidDel="006E74B3" w:rsidTr="008538EC" w14:paraId="785A58B7" w14:textId="0189921A">
        <w:trPr>
          <w:cantSplit/>
        </w:trPr>
        <w:tc>
          <w:tcPr>
            <w:tcW w:w="601" w:type="dxa"/>
            <w:tcBorders>
              <w:right w:val="single" w:color="auto" w:sz="4" w:space="0"/>
            </w:tcBorders>
            <w:tcMar>
              <w:left w:w="0" w:type="dxa"/>
              <w:right w:w="244" w:type="dxa"/>
            </w:tcMar>
          </w:tcPr>
          <w:p w:rsidRPr="008538EC" w:rsidR="008538EC" w:rsidDel="006E74B3" w:rsidP="006E74B3" w:rsidRDefault="00BE3FA0" w14:paraId="01999BFB" w14:textId="34D068A0">
            <w:pPr>
              <w:pStyle w:val="sccodifiedsection"/>
              <w:rPr>
                <w:rStyle w:val="scstrike"/>
              </w:rPr>
            </w:pPr>
            <w:r>
              <w:t>20</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04060E5" w14:textId="733658ED">
            <w:pPr>
              <w:pStyle w:val="sccodifiedsection"/>
              <w:rPr>
                <w:rStyle w:val="scstrike"/>
              </w:rPr>
            </w:pPr>
            <w:r w:rsidRPr="008538EC">
              <w:rPr>
                <w:rStyle w:val="scstrike"/>
              </w:rPr>
              <w:t>year 1</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0D237D6" w14:textId="6C974045">
            <w:pPr>
              <w:pStyle w:val="sccodifiedsection"/>
              <w:rPr>
                <w:rStyle w:val="scstrike"/>
              </w:rPr>
            </w:pPr>
            <w:r w:rsidRPr="008538EC">
              <w:rPr>
                <w:rStyle w:val="scstrike"/>
              </w:rPr>
              <w:t>9.75</w:t>
            </w:r>
          </w:p>
        </w:tc>
      </w:tr>
      <w:tr w:rsidRPr="008538EC" w:rsidR="008538EC" w:rsidDel="006E74B3" w:rsidTr="008538EC" w14:paraId="45F492AB" w14:textId="53E355DA">
        <w:trPr>
          <w:cantSplit/>
        </w:trPr>
        <w:tc>
          <w:tcPr>
            <w:tcW w:w="601" w:type="dxa"/>
            <w:tcBorders>
              <w:right w:val="single" w:color="auto" w:sz="4" w:space="0"/>
            </w:tcBorders>
            <w:tcMar>
              <w:left w:w="0" w:type="dxa"/>
              <w:right w:w="244" w:type="dxa"/>
            </w:tcMar>
          </w:tcPr>
          <w:p w:rsidRPr="008538EC" w:rsidR="008538EC" w:rsidDel="006E74B3" w:rsidP="006E74B3" w:rsidRDefault="00BE3FA0" w14:paraId="40BEBA6F" w14:textId="3A4AA2EF">
            <w:pPr>
              <w:pStyle w:val="sccodifiedsection"/>
              <w:rPr>
                <w:rStyle w:val="scstrike"/>
              </w:rPr>
            </w:pPr>
            <w:r>
              <w:t>21</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3D0A55C6" w14:textId="40F1A42F">
            <w:pPr>
              <w:pStyle w:val="sccodifiedsection"/>
              <w:rPr>
                <w:rStyle w:val="scstrike"/>
              </w:rPr>
            </w:pPr>
            <w:r w:rsidRPr="008538EC">
              <w:rPr>
                <w:rStyle w:val="scstrike"/>
              </w:rPr>
              <w:t>year 2</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08958FB" w14:textId="25F57056">
            <w:pPr>
              <w:pStyle w:val="sccodifiedsection"/>
              <w:rPr>
                <w:rStyle w:val="scstrike"/>
              </w:rPr>
            </w:pPr>
            <w:r w:rsidRPr="008538EC">
              <w:rPr>
                <w:rStyle w:val="scstrike"/>
              </w:rPr>
              <w:t>9.00</w:t>
            </w:r>
          </w:p>
        </w:tc>
      </w:tr>
      <w:tr w:rsidRPr="008538EC" w:rsidR="008538EC" w:rsidDel="006E74B3" w:rsidTr="008538EC" w14:paraId="162D0511" w14:textId="0D98AE74">
        <w:trPr>
          <w:cantSplit/>
        </w:trPr>
        <w:tc>
          <w:tcPr>
            <w:tcW w:w="601" w:type="dxa"/>
            <w:tcBorders>
              <w:right w:val="single" w:color="auto" w:sz="4" w:space="0"/>
            </w:tcBorders>
            <w:tcMar>
              <w:left w:w="0" w:type="dxa"/>
              <w:right w:w="244" w:type="dxa"/>
            </w:tcMar>
          </w:tcPr>
          <w:p w:rsidRPr="008538EC" w:rsidR="008538EC" w:rsidDel="006E74B3" w:rsidP="006E74B3" w:rsidRDefault="00BE3FA0" w14:paraId="3DA29131" w14:textId="5C597860">
            <w:pPr>
              <w:pStyle w:val="sccodifiedsection"/>
              <w:rPr>
                <w:rStyle w:val="scstrike"/>
              </w:rPr>
            </w:pPr>
            <w:r>
              <w:t>22</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2AB8023" w14:textId="6D6C8B8E">
            <w:pPr>
              <w:pStyle w:val="sccodifiedsection"/>
              <w:rPr>
                <w:rStyle w:val="scstrike"/>
              </w:rPr>
            </w:pPr>
            <w:r w:rsidRPr="008538EC">
              <w:rPr>
                <w:rStyle w:val="scstrike"/>
              </w:rPr>
              <w:t>year 3</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85FACA3" w14:textId="4A5DDA9E">
            <w:pPr>
              <w:pStyle w:val="sccodifiedsection"/>
              <w:rPr>
                <w:rStyle w:val="scstrike"/>
              </w:rPr>
            </w:pPr>
            <w:r w:rsidRPr="008538EC">
              <w:rPr>
                <w:rStyle w:val="scstrike"/>
              </w:rPr>
              <w:t>8.25</w:t>
            </w:r>
          </w:p>
        </w:tc>
      </w:tr>
      <w:tr w:rsidRPr="008538EC" w:rsidR="008538EC" w:rsidDel="006E74B3" w:rsidTr="008538EC" w14:paraId="7C9B7781" w14:textId="6206D2AE">
        <w:trPr>
          <w:cantSplit/>
        </w:trPr>
        <w:tc>
          <w:tcPr>
            <w:tcW w:w="601" w:type="dxa"/>
            <w:tcBorders>
              <w:right w:val="single" w:color="auto" w:sz="4" w:space="0"/>
            </w:tcBorders>
            <w:tcMar>
              <w:left w:w="0" w:type="dxa"/>
              <w:right w:w="244" w:type="dxa"/>
            </w:tcMar>
          </w:tcPr>
          <w:p w:rsidRPr="008538EC" w:rsidR="008538EC" w:rsidDel="006E74B3" w:rsidP="006E74B3" w:rsidRDefault="00BE3FA0" w14:paraId="0A2A02FA" w14:textId="6F6BD4A3">
            <w:pPr>
              <w:pStyle w:val="sccodifiedsection"/>
              <w:rPr>
                <w:rStyle w:val="scstrike"/>
              </w:rPr>
            </w:pPr>
            <w:r>
              <w:t>23</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8281CB7" w14:textId="53019B68">
            <w:pPr>
              <w:pStyle w:val="sccodifiedsection"/>
              <w:rPr>
                <w:rStyle w:val="scstrike"/>
              </w:rPr>
            </w:pPr>
            <w:r w:rsidRPr="008538EC">
              <w:rPr>
                <w:rStyle w:val="scstrike"/>
              </w:rPr>
              <w:t>year 4</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5E27385" w14:textId="2F4E184B">
            <w:pPr>
              <w:pStyle w:val="sccodifiedsection"/>
              <w:rPr>
                <w:rStyle w:val="scstrike"/>
              </w:rPr>
            </w:pPr>
            <w:r w:rsidRPr="008538EC">
              <w:rPr>
                <w:rStyle w:val="scstrike"/>
              </w:rPr>
              <w:t>7.50</w:t>
            </w:r>
          </w:p>
        </w:tc>
      </w:tr>
      <w:tr w:rsidRPr="008538EC" w:rsidR="008538EC" w:rsidDel="006E74B3" w:rsidTr="008538EC" w14:paraId="39BBB499" w14:textId="4FFFD446">
        <w:trPr>
          <w:cantSplit/>
        </w:trPr>
        <w:tc>
          <w:tcPr>
            <w:tcW w:w="601" w:type="dxa"/>
            <w:tcBorders>
              <w:right w:val="single" w:color="auto" w:sz="4" w:space="0"/>
            </w:tcBorders>
            <w:tcMar>
              <w:left w:w="0" w:type="dxa"/>
              <w:right w:w="244" w:type="dxa"/>
            </w:tcMar>
          </w:tcPr>
          <w:p w:rsidRPr="008538EC" w:rsidR="008538EC" w:rsidDel="006E74B3" w:rsidP="006E74B3" w:rsidRDefault="00BE3FA0" w14:paraId="6BA9C1C7" w14:textId="16C96249">
            <w:pPr>
              <w:pStyle w:val="sccodifiedsection"/>
              <w:rPr>
                <w:rStyle w:val="scstrike"/>
              </w:rPr>
            </w:pPr>
            <w:r>
              <w:t>24</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3448A71" w14:textId="6C0ED93C">
            <w:pPr>
              <w:pStyle w:val="sccodifiedsection"/>
              <w:rPr>
                <w:rStyle w:val="scstrike"/>
              </w:rPr>
            </w:pPr>
            <w:r w:rsidRPr="008538EC">
              <w:rPr>
                <w:rStyle w:val="scstrike"/>
              </w:rPr>
              <w:t>year 5</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2780178D" w14:textId="69BB42D5">
            <w:pPr>
              <w:pStyle w:val="sccodifiedsection"/>
              <w:rPr>
                <w:rStyle w:val="scstrike"/>
              </w:rPr>
            </w:pPr>
            <w:r w:rsidRPr="008538EC">
              <w:rPr>
                <w:rStyle w:val="scstrike"/>
              </w:rPr>
              <w:t>6.75</w:t>
            </w:r>
          </w:p>
        </w:tc>
      </w:tr>
      <w:tr w:rsidRPr="008538EC" w:rsidR="008538EC" w:rsidDel="006E74B3" w:rsidTr="008538EC" w14:paraId="09F237B3" w14:textId="4BC4DF67">
        <w:trPr>
          <w:cantSplit/>
        </w:trPr>
        <w:tc>
          <w:tcPr>
            <w:tcW w:w="601" w:type="dxa"/>
            <w:tcBorders>
              <w:right w:val="single" w:color="auto" w:sz="4" w:space="0"/>
            </w:tcBorders>
            <w:tcMar>
              <w:left w:w="0" w:type="dxa"/>
              <w:right w:w="244" w:type="dxa"/>
            </w:tcMar>
          </w:tcPr>
          <w:p w:rsidRPr="008538EC" w:rsidR="008538EC" w:rsidDel="006E74B3" w:rsidP="006E74B3" w:rsidRDefault="00BE3FA0" w14:paraId="2E3B3CEC" w14:textId="46CC41BE">
            <w:pPr>
              <w:pStyle w:val="sccodifiedsection"/>
              <w:rPr>
                <w:rStyle w:val="scstrike"/>
              </w:rPr>
            </w:pPr>
            <w:r>
              <w:t>25</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10C14F1" w14:textId="0D33649D">
            <w:pPr>
              <w:pStyle w:val="sccodifiedsection"/>
              <w:rPr>
                <w:rStyle w:val="scstrike"/>
              </w:rPr>
            </w:pPr>
            <w:r w:rsidRPr="008538EC">
              <w:rPr>
                <w:rStyle w:val="scstrike"/>
              </w:rPr>
              <w:t>year 6 and after</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78C46B3" w14:textId="42D3A099">
            <w:pPr>
              <w:pStyle w:val="sccodifiedsection"/>
              <w:rPr>
                <w:rStyle w:val="scstrike"/>
              </w:rPr>
            </w:pPr>
            <w:r w:rsidRPr="008538EC">
              <w:rPr>
                <w:rStyle w:val="scstrike"/>
              </w:rPr>
              <w:t>6.00</w:t>
            </w:r>
          </w:p>
        </w:tc>
      </w:tr>
    </w:tbl>
    <w:p w:rsidR="00BE3FA0" w:rsidP="00BE3FA0" w:rsidRDefault="00BE3FA0" w14:paraId="6ACAE434" w14:textId="77777777">
      <w:pPr>
        <w:pStyle w:val="sccodifiedsection"/>
        <w:suppressLineNumbers/>
        <w:spacing w:line="14" w:lineRule="exact"/>
        <w:sectPr w:rsidR="00BE3FA0" w:rsidSect="00BE3FA0">
          <w:pgSz w:w="12240" w:h="15840" w:code="1"/>
          <w:pgMar w:top="1008" w:right="1627" w:bottom="1008" w:left="1627" w:header="720" w:footer="720" w:gutter="0"/>
          <w:lnNumType w:countBy="1" w:restart="newSection"/>
          <w:cols w:space="708"/>
          <w:docGrid w:linePitch="360"/>
        </w:sectPr>
      </w:pPr>
    </w:p>
    <w:p w:rsidR="008538EC" w:rsidDel="006E74B3" w:rsidP="006E74B3" w:rsidRDefault="008538EC" w14:paraId="13C92605" w14:textId="76F4367D">
      <w:pPr>
        <w:pStyle w:val="sccodifiedsection"/>
        <w:rPr>
          <w:rStyle w:val="scstrike"/>
        </w:rPr>
      </w:pPr>
    </w:p>
    <w:p w:rsidR="007A30E3" w:rsidP="006E74B3" w:rsidRDefault="008538EC" w14:paraId="3F226BFA" w14:textId="2870FD8B">
      <w:pPr>
        <w:pStyle w:val="sccodifiedsection"/>
      </w:pPr>
      <w:r>
        <w:rPr>
          <w:rStyle w:val="scstrike"/>
        </w:rPr>
        <w:tab/>
      </w:r>
      <w:bookmarkStart w:name="ss_ArtXSec1S2_lv1_eecc2704R" w:id="20"/>
      <w:r>
        <w:rPr>
          <w:rStyle w:val="scstrike"/>
        </w:rPr>
        <w:t>(</w:t>
      </w:r>
      <w:bookmarkEnd w:id="20"/>
      <w:r>
        <w:rPr>
          <w:rStyle w:val="scstrike"/>
        </w:rPr>
        <w:t>2) This subitem applies for property tax years beginning after 2001 or for earlier tax years as the General Assembly may provide by law.</w:t>
      </w:r>
    </w:p>
    <w:p w:rsidR="006E74B3" w:rsidP="006E74B3" w:rsidRDefault="006E74B3" w14:paraId="0FCDB9F5" w14:textId="77777777">
      <w:pPr>
        <w:pStyle w:val="scemptyline"/>
      </w:pPr>
    </w:p>
    <w:p w:rsidR="007169F7" w:rsidP="007169F7" w:rsidRDefault="006E74B3" w14:paraId="414C83CB" w14:textId="77777777">
      <w:pPr>
        <w:pStyle w:val="scdirectionallanguage"/>
      </w:pPr>
      <w:bookmarkStart w:name="bs_num_2_be71d76cf" w:id="21"/>
      <w:r>
        <w:t>S</w:t>
      </w:r>
      <w:bookmarkEnd w:id="21"/>
      <w:r>
        <w:t>ECTION 2.</w:t>
      </w:r>
      <w:r>
        <w:tab/>
      </w:r>
      <w:bookmarkStart w:name="dl_02373f993" w:id="22"/>
      <w:r w:rsidR="007169F7">
        <w:t>I</w:t>
      </w:r>
      <w:bookmarkEnd w:id="22"/>
      <w:r w:rsidR="007169F7">
        <w:t>t is proposed that Section 2, Article X of the Constitution of this State be amended to read:</w:t>
      </w:r>
    </w:p>
    <w:p w:rsidR="007169F7" w:rsidP="007169F7" w:rsidRDefault="007169F7" w14:paraId="67055F97" w14:textId="77777777">
      <w:pPr>
        <w:pStyle w:val="sccodifiedsection"/>
      </w:pPr>
    </w:p>
    <w:p w:rsidR="007169F7" w:rsidP="007169F7" w:rsidRDefault="007169F7" w14:paraId="24075904" w14:textId="67A1056E">
      <w:pPr>
        <w:pStyle w:val="sccodifiedsection"/>
      </w:pPr>
      <w:r>
        <w:tab/>
      </w:r>
      <w:bookmarkStart w:name="cs_ArtXSec2_732be9012" w:id="23"/>
      <w:r>
        <w:t>S</w:t>
      </w:r>
      <w:bookmarkEnd w:id="23"/>
      <w:r>
        <w:t xml:space="preserve">ection 2. </w:t>
      </w:r>
      <w:bookmarkStart w:name="ss_ArtXSec2Sa_lv1_ef6c0jjjj" w:id="24"/>
      <w:r>
        <w:t>(</w:t>
      </w:r>
      <w:bookmarkEnd w:id="24"/>
      <w:r>
        <w:t xml:space="preserve">a) The General Assembly may define the classes of property and values for property tax purposes </w:t>
      </w:r>
      <w:r>
        <w:rPr>
          <w:rStyle w:val="scstrike"/>
        </w:rPr>
        <w:t xml:space="preserve">of the classes of property set forth in Section 1 of this article </w:t>
      </w:r>
      <w:r>
        <w:t>and establish administrative procedures for property owners to qualify for a particular classification.</w:t>
      </w:r>
    </w:p>
    <w:p w:rsidR="00BE3FA0" w:rsidP="007169F7" w:rsidRDefault="007169F7" w14:paraId="27DF6EAA" w14:textId="77777777">
      <w:pPr>
        <w:pStyle w:val="sccodifiedsection"/>
        <w:rPr>
          <w:rStyle w:val="scinsert"/>
        </w:rPr>
        <w:sectPr w:rsidR="00BE3FA0" w:rsidSect="00BE3FA0">
          <w:type w:val="continuous"/>
          <w:pgSz w:w="12240" w:h="15840" w:code="1"/>
          <w:pgMar w:top="1008" w:right="1627" w:bottom="1008" w:left="1627" w:header="720" w:footer="720" w:gutter="0"/>
          <w:lnNumType w:countBy="1" w:start="25" w:restart="newSection"/>
          <w:cols w:space="708"/>
          <w:docGrid w:linePitch="360"/>
        </w:sectPr>
      </w:pPr>
      <w:r>
        <w:rPr>
          <w:rStyle w:val="scstrike"/>
        </w:rPr>
        <w:tab/>
      </w:r>
      <w:bookmarkStart w:name="ss_ArtXSec2Sb_lv1_01602d80R" w:id="25"/>
      <w:r>
        <w:rPr>
          <w:rStyle w:val="scstrike"/>
        </w:rPr>
        <w:t>(</w:t>
      </w:r>
      <w:bookmarkEnd w:id="25"/>
      <w:r>
        <w:rPr>
          <w:rStyle w:val="scstrike"/>
        </w:rPr>
        <w:t>b) The General Assembly may provide for a gradual transition to any ratio as set out in Section 1</w:t>
      </w:r>
    </w:p>
    <w:p w:rsidR="007169F7" w:rsidDel="006A2868" w:rsidP="007169F7" w:rsidRDefault="007169F7" w14:paraId="084ADC2B" w14:textId="53102EC4">
      <w:pPr>
        <w:pStyle w:val="sccodifiedsection"/>
        <w:rPr>
          <w:rStyle w:val="scstrike"/>
        </w:rPr>
      </w:pPr>
      <w:r>
        <w:rPr>
          <w:rStyle w:val="scstrike"/>
        </w:rPr>
        <w:lastRenderedPageBreak/>
        <w:t xml:space="preserve"> over a period not to exceed seven years.</w:t>
      </w:r>
    </w:p>
    <w:p w:rsidR="007169F7" w:rsidP="007169F7" w:rsidRDefault="007169F7" w14:paraId="334882AB" w14:textId="0C7F14B7">
      <w:pPr>
        <w:pStyle w:val="sccodifiedsection"/>
      </w:pPr>
      <w:r>
        <w:tab/>
      </w:r>
      <w:r>
        <w:rPr>
          <w:rStyle w:val="scstrike"/>
        </w:rPr>
        <w:t>(c)</w:t>
      </w:r>
      <w:bookmarkStart w:name="ss_ArtXSec2Sb_lv1_ef6c00b7b" w:id="26"/>
      <w:r w:rsidR="006A2868">
        <w:rPr>
          <w:rStyle w:val="scinsert"/>
        </w:rPr>
        <w:t>(</w:t>
      </w:r>
      <w:bookmarkEnd w:id="26"/>
      <w:r w:rsidR="006A2868">
        <w:rPr>
          <w:rStyle w:val="scinsert"/>
        </w:rPr>
        <w:t>b)</w:t>
      </w:r>
      <w:r>
        <w:t xml:space="preserve"> Statutes pertaining to the methods of assessment of property for ad valorem taxation not in conflict with this article shall continue in force until changed by an act of the General Assembly.</w:t>
      </w:r>
    </w:p>
    <w:p w:rsidR="006E74B3" w:rsidDel="006A2868" w:rsidP="007169F7" w:rsidRDefault="007169F7" w14:paraId="2140967F" w14:textId="368B2BF4">
      <w:pPr>
        <w:pStyle w:val="sccodifiedsection"/>
        <w:rPr>
          <w:rStyle w:val="scstrike"/>
        </w:rPr>
      </w:pPr>
      <w:r>
        <w:rPr>
          <w:rStyle w:val="scstrike"/>
        </w:rPr>
        <w:tab/>
      </w:r>
      <w:bookmarkStart w:name="ss_ArtXSec2Sd_lv1_7a420fafR" w:id="27"/>
      <w:r>
        <w:rPr>
          <w:rStyle w:val="scstrike"/>
        </w:rPr>
        <w:t>(</w:t>
      </w:r>
      <w:bookmarkEnd w:id="27"/>
      <w:r>
        <w:rPr>
          <w:rStyle w:val="scstrike"/>
        </w:rPr>
        <w:t xml:space="preserve">d) The General Assembly may change the </w:t>
      </w:r>
      <w:proofErr w:type="gramStart"/>
      <w:r>
        <w:rPr>
          <w:rStyle w:val="scstrike"/>
        </w:rPr>
        <w:t>ratios as</w:t>
      </w:r>
      <w:proofErr w:type="gramEnd"/>
      <w:r>
        <w:rPr>
          <w:rStyle w:val="scstrike"/>
        </w:rPr>
        <w:t xml:space="preserve"> set forth in Section 1, but only with the approval of at least two-thirds of the membership of each house.</w:t>
      </w:r>
    </w:p>
    <w:p w:rsidR="007169F7" w:rsidP="007169F7" w:rsidRDefault="007169F7" w14:paraId="408D220E" w14:textId="77777777">
      <w:pPr>
        <w:pStyle w:val="scemptyline"/>
      </w:pPr>
    </w:p>
    <w:p w:rsidR="00C91165" w:rsidP="00C91165" w:rsidRDefault="007169F7" w14:paraId="6ACF8EA0" w14:textId="77777777">
      <w:pPr>
        <w:pStyle w:val="scnoncodifiedsection"/>
      </w:pPr>
      <w:bookmarkStart w:name="bs_num_3_898a0cb1b" w:id="28"/>
      <w:bookmarkStart w:name="constitution_voting_5b42c2bd4" w:id="29"/>
      <w:r>
        <w:t>S</w:t>
      </w:r>
      <w:bookmarkEnd w:id="28"/>
      <w:r>
        <w:t>ECTION 3.</w:t>
      </w:r>
      <w:r>
        <w:tab/>
      </w:r>
      <w:bookmarkEnd w:id="29"/>
      <w:r w:rsidRPr="7EFADF95" w:rsidR="00C91165">
        <w:t>The proposed</w:t>
      </w:r>
      <w:r w:rsidR="00C91165">
        <w:t xml:space="preserve"> amendment</w:t>
      </w:r>
      <w:r w:rsidRPr="7EFADF95" w:rsidR="00C91165">
        <w:t xml:space="preserve"> must be submitted to the qualified electors at the next general election for representatives.</w:t>
      </w:r>
      <w:r w:rsidR="00C91165">
        <w:t xml:space="preserve"> </w:t>
      </w:r>
      <w:r w:rsidRPr="7EFADF95" w:rsidR="00C91165">
        <w:t xml:space="preserve"> Ballots must be provided at the various voting precincts with the follow</w:t>
      </w:r>
      <w:r w:rsidR="00C91165">
        <w:t>ing</w:t>
      </w:r>
      <w:r w:rsidRPr="7EFADF95" w:rsidR="00C91165">
        <w:t xml:space="preserve"> words printed or written on the ballot:</w:t>
      </w:r>
    </w:p>
    <w:p w:rsidRPr="00116292" w:rsidR="00C91165" w:rsidP="00C91165" w:rsidRDefault="00C91165" w14:paraId="379F937A" w14:textId="77777777">
      <w:pPr>
        <w:pStyle w:val="scnoncodifiedsection"/>
      </w:pPr>
    </w:p>
    <w:p w:rsidRPr="00116292" w:rsidR="00C91165" w:rsidP="00C91165" w:rsidRDefault="00C91165" w14:paraId="7FE972D4" w14:textId="6349016C">
      <w:pPr>
        <w:pStyle w:val="scnoncodifiedsection"/>
      </w:pPr>
      <w:r>
        <w:tab/>
      </w:r>
      <w:bookmarkStart w:name="up_1e3feffcf" w:id="30"/>
      <w:bookmarkStart w:name="open_doc_here" w:id="31"/>
      <w:r>
        <w:t>“</w:t>
      </w:r>
      <w:bookmarkEnd w:id="30"/>
      <w:bookmarkEnd w:id="31"/>
      <w:r w:rsidRPr="00C91CFA">
        <w:t>Must Section</w:t>
      </w:r>
      <w:r w:rsidR="00FE27CE">
        <w:t>s 1 and</w:t>
      </w:r>
      <w:r>
        <w:t xml:space="preserve"> 2,</w:t>
      </w:r>
      <w:r w:rsidRPr="00C91CFA">
        <w:t xml:space="preserve"> Article </w:t>
      </w:r>
      <w:r>
        <w:t>X</w:t>
      </w:r>
      <w:r w:rsidRPr="00C91CFA">
        <w:t xml:space="preserve"> of the Constitution of this State, </w:t>
      </w:r>
      <w:r w:rsidR="00FE27CE">
        <w:t xml:space="preserve">both </w:t>
      </w:r>
      <w:r w:rsidRPr="00C91CFA">
        <w:t xml:space="preserve">relating to </w:t>
      </w:r>
      <w:r w:rsidR="00FE27CE">
        <w:t>property tax</w:t>
      </w:r>
      <w:r w:rsidRPr="004E0418">
        <w:t>,</w:t>
      </w:r>
      <w:r w:rsidRPr="00C91CFA">
        <w:rPr>
          <w:i/>
          <w:iCs/>
        </w:rPr>
        <w:t xml:space="preserve"> </w:t>
      </w:r>
      <w:r w:rsidRPr="00B7188A">
        <w:t xml:space="preserve">be amended </w:t>
      </w:r>
      <w:proofErr w:type="gramStart"/>
      <w:r w:rsidRPr="00B7188A">
        <w:t>so as to</w:t>
      </w:r>
      <w:proofErr w:type="gramEnd"/>
      <w:r w:rsidRPr="00B7188A">
        <w:t xml:space="preserve"> provide</w:t>
      </w:r>
      <w:r>
        <w:t xml:space="preserve"> </w:t>
      </w:r>
      <w:r w:rsidR="00E6383B">
        <w:t>that the General Assembly may determine by law the classifications and assessment ratios of such property</w:t>
      </w:r>
      <w:r w:rsidRPr="00116292">
        <w:t>?</w:t>
      </w:r>
    </w:p>
    <w:p w:rsidRPr="00116292" w:rsidR="00C91165" w:rsidP="00C91165" w:rsidRDefault="00C91165" w14:paraId="39E7221B" w14:textId="77777777">
      <w:pPr>
        <w:pStyle w:val="scnoncodifiedsection"/>
        <w:jc w:val="left"/>
      </w:pPr>
    </w:p>
    <w:p w:rsidRPr="00116292" w:rsidR="00C91165" w:rsidP="00C91165" w:rsidRDefault="00C91165" w14:paraId="73143FA5" w14:textId="77777777">
      <w:pPr>
        <w:pStyle w:val="scnoncodifiedsection"/>
        <w:jc w:val="center"/>
      </w:pPr>
      <w:bookmarkStart w:name="up_0063108f3" w:id="32"/>
      <w:r w:rsidRPr="00116292">
        <w:t>Y</w:t>
      </w:r>
      <w:bookmarkEnd w:id="32"/>
      <w:r w:rsidRPr="00116292">
        <w:t>es</w:t>
      </w:r>
      <w:r>
        <w:tab/>
      </w:r>
      <w:r>
        <w:tab/>
      </w:r>
      <w:r w:rsidRPr="00116292">
        <w:rPr>
          <w:rFonts w:ascii="Wingdings" w:hAnsi="Wingdings"/>
        </w:rPr>
        <w:t>o</w:t>
      </w:r>
    </w:p>
    <w:p w:rsidR="00C91165" w:rsidP="00C91165" w:rsidRDefault="00C91165" w14:paraId="6ADA94F9" w14:textId="77777777">
      <w:pPr>
        <w:pStyle w:val="scnoncodifiedsection"/>
        <w:jc w:val="center"/>
        <w:rPr>
          <w:rFonts w:ascii="Wingdings" w:hAnsi="Wingdings"/>
        </w:rPr>
      </w:pPr>
      <w:bookmarkStart w:name="up_f9eaf8d80" w:id="33"/>
      <w:r w:rsidRPr="00116292">
        <w:t>N</w:t>
      </w:r>
      <w:bookmarkEnd w:id="33"/>
      <w:r w:rsidRPr="00116292">
        <w:t>o</w:t>
      </w:r>
      <w:r>
        <w:tab/>
      </w:r>
      <w:r>
        <w:tab/>
      </w:r>
      <w:r w:rsidRPr="00116292">
        <w:rPr>
          <w:rFonts w:ascii="Wingdings" w:hAnsi="Wingdings"/>
        </w:rPr>
        <w:t>o</w:t>
      </w:r>
    </w:p>
    <w:p w:rsidRPr="00116292" w:rsidR="00C91165" w:rsidP="00C91165" w:rsidRDefault="00C91165" w14:paraId="5E92145C" w14:textId="77777777">
      <w:pPr>
        <w:pStyle w:val="scnoncodifiedsection"/>
        <w:jc w:val="center"/>
      </w:pPr>
    </w:p>
    <w:p w:rsidR="007169F7" w:rsidP="00C91165" w:rsidRDefault="00C91165" w14:paraId="647FDF46" w14:textId="6C0DB9FF">
      <w:pPr>
        <w:pStyle w:val="scnoncodifiedsection"/>
      </w:pPr>
      <w:bookmarkStart w:name="up_2721ecb63" w:id="34"/>
      <w:r w:rsidRPr="00116292">
        <w:t>T</w:t>
      </w:r>
      <w:bookmarkEnd w:id="34"/>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01603FE5">
      <w:pPr>
        <w:pStyle w:val="scbillendxx"/>
      </w:pPr>
      <w:bookmarkStart w:name="up_b8aa0901c" w:id="35"/>
      <w:r w:rsidRPr="00105D52">
        <w:t>-</w:t>
      </w:r>
      <w:bookmarkEnd w:id="35"/>
      <w:r w:rsidRPr="00105D52">
        <w:t>-</w:t>
      </w:r>
      <w:r w:rsidRPr="00105D52" w:rsidR="002A667A">
        <w:t>--XX</w:t>
      </w:r>
      <w:r w:rsidRPr="00105D52">
        <w:t>--</w:t>
      </w:r>
      <w:r w:rsidRPr="00105D52" w:rsidR="002A667A">
        <w:t>--</w:t>
      </w:r>
    </w:p>
    <w:sectPr w:rsidRPr="00105D52" w:rsidR="002A667A" w:rsidSect="00BE3FA0">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3A25727" w:rsidR="00674220" w:rsidRDefault="00EB006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EF4">
          <w:rPr>
            <w:noProof/>
          </w:rPr>
          <w:t>LC-0389DG26.docx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55"/>
    <w:rsid w:val="0000145F"/>
    <w:rsid w:val="000121A8"/>
    <w:rsid w:val="000247A9"/>
    <w:rsid w:val="00037916"/>
    <w:rsid w:val="000473F5"/>
    <w:rsid w:val="000562E4"/>
    <w:rsid w:val="00061E8E"/>
    <w:rsid w:val="00067F62"/>
    <w:rsid w:val="00074D6A"/>
    <w:rsid w:val="000758C3"/>
    <w:rsid w:val="00083F8D"/>
    <w:rsid w:val="0009245B"/>
    <w:rsid w:val="000973BB"/>
    <w:rsid w:val="000B67F5"/>
    <w:rsid w:val="000D6B78"/>
    <w:rsid w:val="000E4143"/>
    <w:rsid w:val="000E582D"/>
    <w:rsid w:val="00102FCA"/>
    <w:rsid w:val="00105D52"/>
    <w:rsid w:val="00110702"/>
    <w:rsid w:val="00137445"/>
    <w:rsid w:val="00152B7B"/>
    <w:rsid w:val="00166A4D"/>
    <w:rsid w:val="00171C1D"/>
    <w:rsid w:val="00174093"/>
    <w:rsid w:val="00191D34"/>
    <w:rsid w:val="001A12D9"/>
    <w:rsid w:val="001A1493"/>
    <w:rsid w:val="001B50D2"/>
    <w:rsid w:val="001C682C"/>
    <w:rsid w:val="001C7C56"/>
    <w:rsid w:val="001D5C59"/>
    <w:rsid w:val="001D6CC3"/>
    <w:rsid w:val="001E7E78"/>
    <w:rsid w:val="001F2A41"/>
    <w:rsid w:val="00202067"/>
    <w:rsid w:val="00202D6C"/>
    <w:rsid w:val="002038AA"/>
    <w:rsid w:val="00204EB0"/>
    <w:rsid w:val="00207826"/>
    <w:rsid w:val="002226C0"/>
    <w:rsid w:val="002230E1"/>
    <w:rsid w:val="002279B4"/>
    <w:rsid w:val="0024358C"/>
    <w:rsid w:val="002469E1"/>
    <w:rsid w:val="002608CD"/>
    <w:rsid w:val="002729E3"/>
    <w:rsid w:val="002850EC"/>
    <w:rsid w:val="002851CF"/>
    <w:rsid w:val="00296CEF"/>
    <w:rsid w:val="002A2C79"/>
    <w:rsid w:val="002A667A"/>
    <w:rsid w:val="002A6902"/>
    <w:rsid w:val="002B02F3"/>
    <w:rsid w:val="002B5BEA"/>
    <w:rsid w:val="002C7C7E"/>
    <w:rsid w:val="002E0094"/>
    <w:rsid w:val="002E1999"/>
    <w:rsid w:val="00314400"/>
    <w:rsid w:val="003170F5"/>
    <w:rsid w:val="003337A0"/>
    <w:rsid w:val="00335981"/>
    <w:rsid w:val="00351A09"/>
    <w:rsid w:val="00383EBB"/>
    <w:rsid w:val="00396B6F"/>
    <w:rsid w:val="003C0043"/>
    <w:rsid w:val="003C444D"/>
    <w:rsid w:val="003C4F86"/>
    <w:rsid w:val="003C7790"/>
    <w:rsid w:val="003D225B"/>
    <w:rsid w:val="003F2307"/>
    <w:rsid w:val="0040332C"/>
    <w:rsid w:val="00421503"/>
    <w:rsid w:val="00422C9A"/>
    <w:rsid w:val="004368D3"/>
    <w:rsid w:val="00463356"/>
    <w:rsid w:val="0048091E"/>
    <w:rsid w:val="004828E7"/>
    <w:rsid w:val="00490B14"/>
    <w:rsid w:val="004932AB"/>
    <w:rsid w:val="004A72B7"/>
    <w:rsid w:val="004B759D"/>
    <w:rsid w:val="004C290A"/>
    <w:rsid w:val="004C36AC"/>
    <w:rsid w:val="004C40D0"/>
    <w:rsid w:val="004C5AD6"/>
    <w:rsid w:val="004D1E7E"/>
    <w:rsid w:val="004E13A3"/>
    <w:rsid w:val="00512914"/>
    <w:rsid w:val="00530E88"/>
    <w:rsid w:val="00547DD5"/>
    <w:rsid w:val="005606AD"/>
    <w:rsid w:val="00560F91"/>
    <w:rsid w:val="00592861"/>
    <w:rsid w:val="005B4332"/>
    <w:rsid w:val="005B7817"/>
    <w:rsid w:val="005C40EB"/>
    <w:rsid w:val="005C4962"/>
    <w:rsid w:val="005E7403"/>
    <w:rsid w:val="005F7A1D"/>
    <w:rsid w:val="006033F0"/>
    <w:rsid w:val="00623280"/>
    <w:rsid w:val="006275E1"/>
    <w:rsid w:val="0063039C"/>
    <w:rsid w:val="00637960"/>
    <w:rsid w:val="006501A2"/>
    <w:rsid w:val="0067243F"/>
    <w:rsid w:val="00674220"/>
    <w:rsid w:val="00677E52"/>
    <w:rsid w:val="00684741"/>
    <w:rsid w:val="00696ABA"/>
    <w:rsid w:val="006A2868"/>
    <w:rsid w:val="006B5610"/>
    <w:rsid w:val="006B76FE"/>
    <w:rsid w:val="006D41CD"/>
    <w:rsid w:val="006E58F8"/>
    <w:rsid w:val="006E74B3"/>
    <w:rsid w:val="00702736"/>
    <w:rsid w:val="007169F7"/>
    <w:rsid w:val="007262F1"/>
    <w:rsid w:val="00741923"/>
    <w:rsid w:val="00747A48"/>
    <w:rsid w:val="007705A8"/>
    <w:rsid w:val="0077594C"/>
    <w:rsid w:val="007834CB"/>
    <w:rsid w:val="007A11D3"/>
    <w:rsid w:val="007A30E3"/>
    <w:rsid w:val="007A6F9E"/>
    <w:rsid w:val="007E0E6A"/>
    <w:rsid w:val="007F179F"/>
    <w:rsid w:val="007F26D2"/>
    <w:rsid w:val="00807D9F"/>
    <w:rsid w:val="00810D57"/>
    <w:rsid w:val="00821680"/>
    <w:rsid w:val="008242C7"/>
    <w:rsid w:val="00827AEA"/>
    <w:rsid w:val="008538EC"/>
    <w:rsid w:val="008577F1"/>
    <w:rsid w:val="00857D61"/>
    <w:rsid w:val="008624F0"/>
    <w:rsid w:val="00876AA5"/>
    <w:rsid w:val="00881BAE"/>
    <w:rsid w:val="008A6ED6"/>
    <w:rsid w:val="008A7856"/>
    <w:rsid w:val="008B691C"/>
    <w:rsid w:val="00902A77"/>
    <w:rsid w:val="0090596A"/>
    <w:rsid w:val="009143C5"/>
    <w:rsid w:val="00920B70"/>
    <w:rsid w:val="009253B3"/>
    <w:rsid w:val="0092633F"/>
    <w:rsid w:val="00935259"/>
    <w:rsid w:val="00936D1A"/>
    <w:rsid w:val="00937B34"/>
    <w:rsid w:val="009552CC"/>
    <w:rsid w:val="00956988"/>
    <w:rsid w:val="00967247"/>
    <w:rsid w:val="00991F67"/>
    <w:rsid w:val="009B2ECA"/>
    <w:rsid w:val="009C43C3"/>
    <w:rsid w:val="009D0681"/>
    <w:rsid w:val="009D1A37"/>
    <w:rsid w:val="009D54F7"/>
    <w:rsid w:val="009E205E"/>
    <w:rsid w:val="009F4163"/>
    <w:rsid w:val="009F6ABD"/>
    <w:rsid w:val="00A02894"/>
    <w:rsid w:val="00A07EF4"/>
    <w:rsid w:val="00A10047"/>
    <w:rsid w:val="00A33A5F"/>
    <w:rsid w:val="00A55C87"/>
    <w:rsid w:val="00A6023F"/>
    <w:rsid w:val="00A62614"/>
    <w:rsid w:val="00A7018E"/>
    <w:rsid w:val="00A701F2"/>
    <w:rsid w:val="00A7057B"/>
    <w:rsid w:val="00A73649"/>
    <w:rsid w:val="00A74E51"/>
    <w:rsid w:val="00A8574D"/>
    <w:rsid w:val="00A94DCE"/>
    <w:rsid w:val="00A96112"/>
    <w:rsid w:val="00AB3D14"/>
    <w:rsid w:val="00AE0454"/>
    <w:rsid w:val="00B206EC"/>
    <w:rsid w:val="00B2206F"/>
    <w:rsid w:val="00B23615"/>
    <w:rsid w:val="00B2707D"/>
    <w:rsid w:val="00B3575E"/>
    <w:rsid w:val="00B421A5"/>
    <w:rsid w:val="00B53725"/>
    <w:rsid w:val="00B771DC"/>
    <w:rsid w:val="00B92F98"/>
    <w:rsid w:val="00BA3368"/>
    <w:rsid w:val="00BC489A"/>
    <w:rsid w:val="00BC5E48"/>
    <w:rsid w:val="00BE1040"/>
    <w:rsid w:val="00BE1839"/>
    <w:rsid w:val="00BE3FA0"/>
    <w:rsid w:val="00BE48A2"/>
    <w:rsid w:val="00C1306D"/>
    <w:rsid w:val="00C2363D"/>
    <w:rsid w:val="00C43383"/>
    <w:rsid w:val="00C603CF"/>
    <w:rsid w:val="00C73C7D"/>
    <w:rsid w:val="00C75DCE"/>
    <w:rsid w:val="00C91165"/>
    <w:rsid w:val="00CA2D40"/>
    <w:rsid w:val="00CA76AC"/>
    <w:rsid w:val="00CB3A21"/>
    <w:rsid w:val="00CC0258"/>
    <w:rsid w:val="00CD2FA8"/>
    <w:rsid w:val="00CD3366"/>
    <w:rsid w:val="00CD3E0C"/>
    <w:rsid w:val="00CE0EA3"/>
    <w:rsid w:val="00CF0C03"/>
    <w:rsid w:val="00CF1508"/>
    <w:rsid w:val="00CF502F"/>
    <w:rsid w:val="00CF64E6"/>
    <w:rsid w:val="00D0360E"/>
    <w:rsid w:val="00D03992"/>
    <w:rsid w:val="00D10F89"/>
    <w:rsid w:val="00D20D80"/>
    <w:rsid w:val="00D20F23"/>
    <w:rsid w:val="00D24A45"/>
    <w:rsid w:val="00D36E22"/>
    <w:rsid w:val="00D47431"/>
    <w:rsid w:val="00D52B38"/>
    <w:rsid w:val="00D56452"/>
    <w:rsid w:val="00D66525"/>
    <w:rsid w:val="00D7127E"/>
    <w:rsid w:val="00D76E08"/>
    <w:rsid w:val="00DC14A6"/>
    <w:rsid w:val="00DE3D65"/>
    <w:rsid w:val="00E13307"/>
    <w:rsid w:val="00E31700"/>
    <w:rsid w:val="00E33E4F"/>
    <w:rsid w:val="00E415C2"/>
    <w:rsid w:val="00E42EA4"/>
    <w:rsid w:val="00E4700B"/>
    <w:rsid w:val="00E53AAD"/>
    <w:rsid w:val="00E6383B"/>
    <w:rsid w:val="00E84A0A"/>
    <w:rsid w:val="00EA2574"/>
    <w:rsid w:val="00EA3586"/>
    <w:rsid w:val="00EB006B"/>
    <w:rsid w:val="00EB0B43"/>
    <w:rsid w:val="00EB0F12"/>
    <w:rsid w:val="00EB7966"/>
    <w:rsid w:val="00ED4053"/>
    <w:rsid w:val="00EF3015"/>
    <w:rsid w:val="00F05168"/>
    <w:rsid w:val="00F1362B"/>
    <w:rsid w:val="00F44E29"/>
    <w:rsid w:val="00F608CF"/>
    <w:rsid w:val="00F63084"/>
    <w:rsid w:val="00F64849"/>
    <w:rsid w:val="00F739FD"/>
    <w:rsid w:val="00F751FE"/>
    <w:rsid w:val="00F8634D"/>
    <w:rsid w:val="00F94AE9"/>
    <w:rsid w:val="00FA7539"/>
    <w:rsid w:val="00FB02A8"/>
    <w:rsid w:val="00FC2081"/>
    <w:rsid w:val="00FD0B09"/>
    <w:rsid w:val="00FD0DA3"/>
    <w:rsid w:val="00FD3616"/>
    <w:rsid w:val="00FE27CE"/>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EC"/>
  </w:style>
  <w:style w:type="paragraph" w:styleId="Heading1">
    <w:name w:val="heading 1"/>
    <w:basedOn w:val="Normal"/>
    <w:next w:val="Normal"/>
    <w:link w:val="Heading1Char"/>
    <w:uiPriority w:val="9"/>
    <w:qFormat/>
    <w:rsid w:val="00B20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06EC"/>
    <w:rPr>
      <w:rFonts w:ascii="Times New Roman" w:hAnsi="Times New Roman"/>
      <w:b w:val="0"/>
      <w:i w:val="0"/>
      <w:sz w:val="22"/>
    </w:rPr>
  </w:style>
  <w:style w:type="character" w:customStyle="1" w:styleId="Heading1Char">
    <w:name w:val="Heading 1 Char"/>
    <w:basedOn w:val="DefaultParagraphFont"/>
    <w:link w:val="Heading1"/>
    <w:uiPriority w:val="9"/>
    <w:rsid w:val="00B206E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206EC"/>
    <w:rPr>
      <w:rFonts w:ascii="Aharoni" w:hAnsi="Aharoni"/>
      <w:sz w:val="44"/>
      <w:lang w:val="en-US"/>
    </w:rPr>
  </w:style>
  <w:style w:type="paragraph" w:customStyle="1" w:styleId="scbillheader">
    <w:name w:val="sc_bill_header"/>
    <w:qFormat/>
    <w:rsid w:val="00B206E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06E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06E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06E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06E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06E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06E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06E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06E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06EC"/>
    <w:rPr>
      <w:rFonts w:ascii="Times New Roman" w:hAnsi="Times New Roman"/>
      <w:b w:val="0"/>
      <w:i w:val="0"/>
      <w:sz w:val="28"/>
      <w:lang w:val="en-US"/>
    </w:rPr>
  </w:style>
  <w:style w:type="paragraph" w:customStyle="1" w:styleId="scamendselectionboxes">
    <w:name w:val="sc_amend_selectionboxes"/>
    <w:basedOn w:val="Normal"/>
    <w:qFormat/>
    <w:rsid w:val="00B206E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06E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06E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06E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06E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06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06E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06E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206E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206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06E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206E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206E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206EC"/>
    <w:rPr>
      <w:rFonts w:ascii="Times New Roman" w:hAnsi="Times New Roman"/>
      <w:color w:val="auto"/>
      <w:sz w:val="22"/>
      <w:lang w:val="en-US"/>
    </w:rPr>
  </w:style>
  <w:style w:type="paragraph" w:customStyle="1" w:styleId="scclippagedocpath">
    <w:name w:val="sc_clip_page_doc_path"/>
    <w:qFormat/>
    <w:rsid w:val="00B206E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206E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206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206E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206E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206E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206E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206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206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206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06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06E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206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206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06E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206E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206E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206E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206EC"/>
    <w:rPr>
      <w:rFonts w:ascii="Times New Roman" w:hAnsi="Times New Roman"/>
      <w:b w:val="0"/>
      <w:i w:val="0"/>
      <w:caps/>
      <w:smallCaps w:val="0"/>
      <w:color w:val="auto"/>
      <w:sz w:val="22"/>
      <w:lang w:val="en-US"/>
    </w:rPr>
  </w:style>
  <w:style w:type="paragraph" w:customStyle="1" w:styleId="scbillsenatebackjacket">
    <w:name w:val="sc_bill_senate_back_jacket"/>
    <w:qFormat/>
    <w:rsid w:val="00B206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206E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206E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206EC"/>
    <w:rPr>
      <w:rFonts w:ascii="Times New Roman" w:hAnsi="Times New Roman"/>
      <w:caps/>
      <w:smallCaps w:val="0"/>
      <w:sz w:val="22"/>
      <w:lang w:val="en-US"/>
    </w:rPr>
  </w:style>
  <w:style w:type="paragraph" w:customStyle="1" w:styleId="scsenateresolution">
    <w:name w:val="sc_senate_resolution"/>
    <w:qFormat/>
    <w:rsid w:val="00B206E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206E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206E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206E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206EC"/>
  </w:style>
  <w:style w:type="paragraph" w:customStyle="1" w:styleId="scsenateresolutionclippagedraftingassistant">
    <w:name w:val="sc_senate_resolution_clip_page_drafting_assistant"/>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206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206E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206E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206E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206E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206E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206E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206E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206E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206E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206E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206E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206E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206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206E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06E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06E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06EC"/>
    <w:rPr>
      <w:rFonts w:ascii="Times New Roman" w:hAnsi="Times New Roman"/>
      <w:b w:val="0"/>
      <w:i w:val="0"/>
      <w:caps/>
      <w:smallCaps w:val="0"/>
      <w:sz w:val="28"/>
      <w:lang w:val="en-US"/>
    </w:rPr>
  </w:style>
  <w:style w:type="paragraph" w:customStyle="1" w:styleId="scconfrepcodifiedsection">
    <w:name w:val="sc_confrep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06E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06E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06E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06E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06E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06E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06E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06E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06E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06E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206E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206E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206E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206EC"/>
    <w:rPr>
      <w:color w:val="808080"/>
    </w:rPr>
  </w:style>
  <w:style w:type="paragraph" w:customStyle="1" w:styleId="scjrblanksection">
    <w:name w:val="sc_jr_blank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2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20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6EC"/>
  </w:style>
  <w:style w:type="paragraph" w:styleId="Footer">
    <w:name w:val="footer"/>
    <w:basedOn w:val="Normal"/>
    <w:link w:val="FooterChar"/>
    <w:uiPriority w:val="99"/>
    <w:unhideWhenUsed/>
    <w:rsid w:val="00B2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6EC"/>
  </w:style>
  <w:style w:type="paragraph" w:customStyle="1" w:styleId="sctablecodifiedsection">
    <w:name w:val="sc_table_codified_section"/>
    <w:qFormat/>
    <w:rsid w:val="00B206EC"/>
    <w:pPr>
      <w:widowControl w:val="0"/>
      <w:suppressAutoHyphens/>
      <w:spacing w:after="0" w:line="360" w:lineRule="auto"/>
    </w:pPr>
    <w:rPr>
      <w:rFonts w:ascii="Times New Roman" w:hAnsi="Times New Roman"/>
      <w:lang w:val="en-US"/>
    </w:rPr>
  </w:style>
  <w:style w:type="paragraph" w:customStyle="1" w:styleId="sctableln">
    <w:name w:val="sc_table_ln"/>
    <w:qFormat/>
    <w:rsid w:val="00B206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06E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206EC"/>
    <w:rPr>
      <w:strike/>
      <w:dstrike w:val="0"/>
      <w:color w:val="0070C0"/>
      <w:lang w:val="en-US"/>
    </w:rPr>
  </w:style>
  <w:style w:type="character" w:customStyle="1" w:styleId="scstrikered">
    <w:name w:val="sc_strike_red"/>
    <w:uiPriority w:val="1"/>
    <w:qFormat/>
    <w:rsid w:val="00B206EC"/>
    <w:rPr>
      <w:strike/>
      <w:dstrike w:val="0"/>
      <w:color w:val="FF0000"/>
      <w:lang w:val="en-US"/>
    </w:rPr>
  </w:style>
  <w:style w:type="character" w:customStyle="1" w:styleId="scinsert">
    <w:name w:val="sc_insert"/>
    <w:uiPriority w:val="1"/>
    <w:qFormat/>
    <w:rsid w:val="00B206EC"/>
    <w:rPr>
      <w:caps w:val="0"/>
      <w:smallCaps w:val="0"/>
      <w:strike w:val="0"/>
      <w:dstrike w:val="0"/>
      <w:vanish w:val="0"/>
      <w:u w:val="single"/>
      <w:vertAlign w:val="baseline"/>
      <w:lang w:val="en-US"/>
    </w:rPr>
  </w:style>
  <w:style w:type="character" w:customStyle="1" w:styleId="scinsertblue">
    <w:name w:val="sc_insert_blue"/>
    <w:uiPriority w:val="1"/>
    <w:qFormat/>
    <w:rsid w:val="00B206E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206EC"/>
    <w:rPr>
      <w:caps w:val="0"/>
      <w:smallCaps w:val="0"/>
      <w:strike w:val="0"/>
      <w:dstrike w:val="0"/>
      <w:vanish w:val="0"/>
      <w:color w:val="0070C0"/>
      <w:u w:val="none"/>
      <w:vertAlign w:val="baseline"/>
      <w:lang w:val="en-US"/>
    </w:rPr>
  </w:style>
  <w:style w:type="character" w:customStyle="1" w:styleId="scinsertred">
    <w:name w:val="sc_insert_red"/>
    <w:uiPriority w:val="1"/>
    <w:qFormat/>
    <w:rsid w:val="00B206E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206EC"/>
    <w:rPr>
      <w:caps w:val="0"/>
      <w:smallCaps w:val="0"/>
      <w:strike w:val="0"/>
      <w:dstrike w:val="0"/>
      <w:vanish w:val="0"/>
      <w:color w:val="FF0000"/>
      <w:u w:val="none"/>
      <w:vertAlign w:val="baseline"/>
      <w:lang w:val="en-US"/>
    </w:rPr>
  </w:style>
  <w:style w:type="character" w:customStyle="1" w:styleId="scstrike">
    <w:name w:val="sc_strike"/>
    <w:uiPriority w:val="1"/>
    <w:qFormat/>
    <w:rsid w:val="00B206EC"/>
    <w:rPr>
      <w:strike/>
      <w:dstrike w:val="0"/>
      <w:lang w:val="en-US"/>
    </w:rPr>
  </w:style>
  <w:style w:type="character" w:customStyle="1" w:styleId="scstrikebluenoncodified">
    <w:name w:val="sc_strike_blue_non_codified"/>
    <w:uiPriority w:val="1"/>
    <w:qFormat/>
    <w:rsid w:val="00B206EC"/>
    <w:rPr>
      <w:strike/>
      <w:dstrike w:val="0"/>
      <w:color w:val="0070C0"/>
      <w:lang w:val="en-US"/>
    </w:rPr>
  </w:style>
  <w:style w:type="character" w:customStyle="1" w:styleId="scstrikerednoncodified">
    <w:name w:val="sc_strike_red_non_codified"/>
    <w:uiPriority w:val="1"/>
    <w:qFormat/>
    <w:rsid w:val="00B206EC"/>
    <w:rPr>
      <w:strike/>
      <w:dstrike w:val="0"/>
      <w:color w:val="FF0000"/>
      <w:lang w:val="en-US"/>
    </w:rPr>
  </w:style>
  <w:style w:type="paragraph" w:customStyle="1" w:styleId="scbillsiglines">
    <w:name w:val="sc_bill_sig_lines"/>
    <w:qFormat/>
    <w:rsid w:val="00B206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06EC"/>
    <w:rPr>
      <w:bdr w:val="none" w:sz="0" w:space="0" w:color="auto"/>
      <w:shd w:val="clear" w:color="auto" w:fill="FEC6C6"/>
    </w:rPr>
  </w:style>
  <w:style w:type="character" w:customStyle="1" w:styleId="screstoreblue">
    <w:name w:val="sc_restore_blue"/>
    <w:uiPriority w:val="1"/>
    <w:qFormat/>
    <w:rsid w:val="00B206EC"/>
    <w:rPr>
      <w:color w:val="4472C4" w:themeColor="accent1"/>
      <w:bdr w:val="none" w:sz="0" w:space="0" w:color="auto"/>
      <w:shd w:val="clear" w:color="auto" w:fill="auto"/>
    </w:rPr>
  </w:style>
  <w:style w:type="character" w:customStyle="1" w:styleId="screstorered">
    <w:name w:val="sc_restore_red"/>
    <w:uiPriority w:val="1"/>
    <w:qFormat/>
    <w:rsid w:val="00B206EC"/>
    <w:rPr>
      <w:color w:val="FF0000"/>
      <w:bdr w:val="none" w:sz="0" w:space="0" w:color="auto"/>
      <w:shd w:val="clear" w:color="auto" w:fill="auto"/>
    </w:rPr>
  </w:style>
  <w:style w:type="character" w:customStyle="1" w:styleId="scamendhouse">
    <w:name w:val="sc_amend_house"/>
    <w:uiPriority w:val="1"/>
    <w:qFormat/>
    <w:rsid w:val="00B206EC"/>
    <w:rPr>
      <w:bdr w:val="none" w:sz="0" w:space="0" w:color="auto"/>
      <w:shd w:val="clear" w:color="auto" w:fill="E2EFD9" w:themeFill="accent6" w:themeFillTint="33"/>
    </w:rPr>
  </w:style>
  <w:style w:type="character" w:customStyle="1" w:styleId="scamendsenate">
    <w:name w:val="sc_amend_senate"/>
    <w:uiPriority w:val="1"/>
    <w:qFormat/>
    <w:rsid w:val="00B206EC"/>
    <w:rPr>
      <w:bdr w:val="none" w:sz="0" w:space="0" w:color="auto"/>
      <w:shd w:val="clear" w:color="auto" w:fill="FFF2CC" w:themeFill="accent4" w:themeFillTint="33"/>
    </w:rPr>
  </w:style>
  <w:style w:type="character" w:customStyle="1" w:styleId="scstrikenewblue">
    <w:name w:val="sc_strike_new_blue"/>
    <w:uiPriority w:val="1"/>
    <w:qFormat/>
    <w:rsid w:val="00B206EC"/>
    <w:rPr>
      <w:strike w:val="0"/>
      <w:dstrike/>
      <w:color w:val="0070C0"/>
      <w:u w:val="none"/>
    </w:rPr>
  </w:style>
  <w:style w:type="character" w:customStyle="1" w:styleId="scstrikenewred">
    <w:name w:val="sc_strike_new_red"/>
    <w:uiPriority w:val="1"/>
    <w:qFormat/>
    <w:rsid w:val="00B206EC"/>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B206EC"/>
    <w:pPr>
      <w:spacing w:after="0" w:line="240" w:lineRule="auto"/>
    </w:pPr>
    <w:rPr>
      <w:rFonts w:ascii="Times New Roman" w:hAnsi="Times New Roman"/>
      <w:i/>
      <w:lang w:val="en-US"/>
    </w:rPr>
  </w:style>
  <w:style w:type="paragraph" w:customStyle="1" w:styleId="sccoversheetsenate">
    <w:name w:val="sc_coversheet_senate"/>
    <w:qFormat/>
    <w:rsid w:val="00B206EC"/>
    <w:pPr>
      <w:spacing w:after="0" w:line="240" w:lineRule="auto"/>
    </w:pPr>
    <w:rPr>
      <w:rFonts w:ascii="Times New Roman" w:hAnsi="Times New Roman"/>
      <w:b/>
      <w:lang w:val="en-US"/>
    </w:rPr>
  </w:style>
  <w:style w:type="paragraph" w:styleId="Revision">
    <w:name w:val="Revision"/>
    <w:hidden/>
    <w:uiPriority w:val="99"/>
    <w:semiHidden/>
    <w:rsid w:val="006E7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5&amp;session=126&amp;summary=B" TargetMode="External" Id="R97477815dcd64f5b" /><Relationship Type="http://schemas.openxmlformats.org/officeDocument/2006/relationships/hyperlink" Target="https://www.scstatehouse.gov/sess126_2025-2026/prever/815_20260114.docx" TargetMode="External" Id="Rde7ae0c5018048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473F5"/>
    <w:rsid w:val="00083F8D"/>
    <w:rsid w:val="000958FC"/>
    <w:rsid w:val="00111C14"/>
    <w:rsid w:val="00115F1C"/>
    <w:rsid w:val="002469E1"/>
    <w:rsid w:val="003D4509"/>
    <w:rsid w:val="003E0E59"/>
    <w:rsid w:val="003F2307"/>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A94DCE"/>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aeebd802-a578-4b3f-a423-ff71df5623ad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73e72f8c-532f-4b92-9c5d-be590ccf81bb</T_BILL_REQUEST_REQUEST>
  <T_BILL_R_ORIGINALDRAFT>f4a9bbac-3e17-4825-a43f-8b497d1c1519</T_BILL_R_ORIGINALDRAFT>
  <T_BILL_SPONSOR_SPONSOR>0b4d42dd-2ddc-4a55-b63c-99d15523148c</T_BILL_SPONSOR_SPONSOR>
  <T_BILL_T_BILLNAME>[0815]</T_BILL_T_BILLNAME>
  <T_BILL_T_BILLNUMBER>815</T_BILL_T_BILLNUMBER>
  <T_BILL_T_BILLTITLE>TO AMEND SECTIONS 1 AND 2 OF ARTICLE X, OF THE CONSTITUTION OF SOUTH CAROLINA, 1895, BOTH RELATING TO PROPERTY TAX, SO AS TO PROVIDE THAT THE GENERAL ASSEMBLY MAY DETERMINE BY LAW THE CLASSIFICATIONS AND ASSESSMENT RATIOS OF SUCH PROPERTY.</T_BILL_T_BILLTITLE>
  <T_BILL_T_CHAMBER>senate</T_BILL_T_CHAMBER>
  <T_BILL_T_FILENAME> </T_BILL_T_FILENAME>
  <T_BILL_T_LEGTYPE>joint_resolution_constitution</T_BILL_T_LEGTYPE>
  <T_BILL_T_RATNUMBERSTRING>SNone</T_BILL_T_RATNUMBERSTRING>
  <T_BILL_T_SECTIONS>[{"SectionUUID":"3001d0da-28aa-47a1-9a6b-0f19a3154628","SectionName":"code_section","SectionNumber":1,"SectionType":"code_section","CodeSections":[{"CodeSectionBookmarkName":"cs_ArtXSec1_51db4917c","IsConstitutionSection":true,"Identity":"X-1","IsNew":false,"SubSections":[{"Level":1,"Identity":"ArtXSec1S1","SubSectionBookmarkName":"ss_ArtXSec1S1_lv1_027d105fR","IsNewSubSection":false,"SubSectionReplacement":""},{"Level":1,"Identity":"ArtXSec1S2","SubSectionBookmarkName":"ss_ArtXSec1S2_lv1_e591c3f8R","IsNewSubSection":false,"SubSectionReplacement":""},{"Level":1,"Identity":"ArtXSec1S3","SubSectionBookmarkName":"ss_ArtXSec1S3_lv1_9de66081R","IsNewSubSection":false,"SubSectionReplacement":""},{"Level":1,"Identity":"ArtXSec1S4","SubSectionBookmarkName":"ss_ArtXSec1S4_lv1_a3451341R","IsNewSubSection":false,"SubSectionReplacement":""},{"Level":2,"Identity":"ArtXSec1SA","SubSectionBookmarkName":"ss_ArtXSec1SA_lv2_8d4d28bcR","IsNewSubSection":false,"SubSectionReplacement":""},{"Level":3,"Identity":"ArtXSec1Si","SubSectionBookmarkName":"ss_ArtXSec1Si_lv3_6438edd2R","IsNewSubSection":false,"SubSectionReplacement":""},{"Level":3,"Identity":"ArtXSec1Siii","SubSectionBookmarkName":"ss_ArtXSec1Siii_lv3_7dfc6582R","IsNewSubSection":false,"SubSectionReplacement":""},{"Level":2,"Identity":"ArtXSec1SB","SubSectionBookmarkName":"ss_ArtXSec1SB_lv2_842519ebR","IsNewSubSection":false,"SubSectionReplacement":""},{"Level":1,"Identity":"ArtXSec1S5","SubSectionBookmarkName":"ss_ArtXSec1S5_lv1_51654829R","IsNewSubSection":false,"SubSectionReplacement":""},{"Level":1,"Identity":"ArtXSec1S6","SubSectionBookmarkName":"ss_ArtXSec1S6_lv1_a1ece7f4R","IsNewSubSection":false,"SubSectionReplacement":""},{"Level":1,"Identity":"ArtXSec1S7","SubSectionBookmarkName":"ss_ArtXSec1S7_lv1_8accf9bcR","IsNewSubSection":false,"SubSectionReplacement":""},{"Level":2,"Identity":"ArtXSec1SB","SubSectionBookmarkName":"ss_ArtXSec1SB_lv2_ca3f362bR","IsNewSubSection":false,"SubSectionReplacement":""},{"Level":1,"Identity":"ArtXSec1S1","SubSectionBookmarkName":"ss_ArtXSec1S1_lv1_7f3e1df7R","IsNewSubSection":false,"SubSectionReplacement":""},{"Level":1,"Identity":"ArtXSec1S2","SubSectionBookmarkName":"ss_ArtXSec1S2_lv1_eecc2704R","IsNewSubSection":false,"SubSectionReplacement":""},{"Level":3,"Identity":"ArtXSec1Sii","SubSectionBookmarkName":"ss_ArtXSec1Sii_lv3_8ff69fb8R","IsNewSubSection":false,"SubSectionReplacement":""},{"Level":3,"Identity":"ArtXSec1Siv","SubSectionBookmarkName":"ss_ArtXSec1Siv_lv3_469cf919R","IsNewSubSection":false,"SubSectionReplacement":""},{"Level":1,"Identity":"ArtXSec1S8","SubSectionBookmarkName":"ss_ArtXSec1S8_lv1_mmmmf9bcR","IsNewSubSection":false,"SubSectionReplacement":""}],"TitleRelatedTo":"","TitleSoAsTo":"","Deleted":false,"IsStricken":false}],"TitleText":"TO AMEND SECTIONS 1 AND 2 OF ARTICLE X, OF THE CONSTITUTION OF SOUTH CAROLINA, 1895, BOTH RELATING TO PROPERTY TAX, SO AS TO PROVIDE THAT THE GENERAL ASSEMBLY MAY DETERMINE BY LAW THE CLASSIFICATIONS AND ASSESSMENT RATIOS OF SUCH PROPERTY","DisableControls":false,"Deleted":false,"RepealItems":[],"SectionBookmarkName":"bs_num_1_e4265b870"},{"SectionUUID":"fd3d4db4-2ba0-4d3a-b347-7b8ec1ec2fb3","SectionName":"code_section","SectionNumber":2,"SectionType":"code_section","CodeSections":[{"CodeSectionBookmarkName":"cs_ArtXSec2_732be9012","IsConstitutionSection":true,"Identity":"X-2","IsNew":false,"SubSections":[{"Level":1,"Identity":"ArtXSec2Sb","SubSectionBookmarkName":"ss_ArtXSec2Sb_lv1_01602d80R","IsNewSubSection":false,"SubSectionReplacement":""},{"Level":1,"Identity":"ArtXSec2Sb","SubSectionBookmarkName":"ss_ArtXSec2Sb_lv1_ef6c00b7b","IsNewSubSection":false,"SubSectionReplacement":""},{"Level":1,"Identity":"ArtXSec2Sd","SubSectionBookmarkName":"ss_ArtXSec2Sd_lv1_7a420fafR","IsNewSubSection":false,"SubSectionReplacement":""},{"Level":1,"Identity":"ArtXSec2Sa","SubSectionBookmarkName":"ss_ArtXSec2Sa_lv1_ef6c0jjjj","IsNewSubSection":false,"SubSectionReplacement":""}],"TitleRelatedTo":"","TitleSoAsTo":"","Deleted":false,"IsStricken":false}],"TitleText":"","DisableControls":false,"Deleted":false,"RepealItems":[],"SectionBookmarkName":"bs_num_2_be71d76cf"},{"SectionUUID":"7f3fff80-04b8-4019-be3b-e8be88e50eb3","SectionName":"code_section","SectionNumber":3,"SectionType":"code_section","CodeSections":[],"TitleText":"","DisableControls":false,"Deleted":false,"RepealItems":[],"SectionBookmarkName":"bs_num_3_898a0cb1b"}]</T_BILL_T_SECTIONS>
  <T_BILL_T_SUBJECT>Constitutional amendment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7B39-3752-4B05-8FC5-D64E7BCE58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4305</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2026-01-12T14:51:00Z</cp:lastPrinted>
  <dcterms:created xsi:type="dcterms:W3CDTF">2026-01-12T20:00:00Z</dcterms:created>
  <dcterms:modified xsi:type="dcterms:W3CDTF">2026-01-12T20:00:00Z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