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and Turner</w:t>
      </w:r>
    </w:p>
    <w:p>
      <w:pPr>
        <w:widowControl w:val="false"/>
        <w:spacing w:after="0"/>
        <w:jc w:val="left"/>
      </w:pPr>
      <w:r>
        <w:rPr>
          <w:rFonts w:ascii="Times New Roman"/>
          <w:sz w:val="22"/>
        </w:rPr>
        <w:t xml:space="preserve">Companion/Similar bill(s): 5004</w:t>
      </w:r>
    </w:p>
    <w:p>
      <w:pPr>
        <w:widowControl w:val="false"/>
        <w:spacing w:after="0"/>
        <w:jc w:val="left"/>
      </w:pPr>
      <w:r>
        <w:rPr>
          <w:rFonts w:ascii="Times New Roman"/>
          <w:sz w:val="22"/>
        </w:rPr>
        <w:t xml:space="preserve">Document Path: SR-0464KM26.docx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Lawyer Advertising Unfair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27eebcc4f23849f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Labor, Commerce and Industry</w:t>
      </w:r>
      <w:r>
        <w:t xml:space="preserve"> (</w:t>
      </w:r>
      <w:hyperlink w:history="true" r:id="Rb6ad14d3f7e8409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428036a5f8b4f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0b5d276d564242">
        <w:r>
          <w:rPr>
            <w:rStyle w:val="Hyperlink"/>
            <w:u w:val="single"/>
          </w:rPr>
          <w:t>01/15/2026</w:t>
        </w:r>
      </w:hyperlink>
      <w:r>
        <w:t xml:space="preserve"/>
      </w:r>
    </w:p>
    <w:p>
      <w:pPr>
        <w:widowControl w:val="true"/>
        <w:spacing w:after="0"/>
        <w:jc w:val="left"/>
      </w:pPr>
      <w:r>
        <w:rPr>
          <w:rFonts w:ascii="Times New Roman"/>
          <w:sz w:val="22"/>
        </w:rPr>
        <w:t xml:space="preserve"/>
      </w:r>
      <w:hyperlink r:id="Re4b0fce6d8114ee4">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6FB93CE" w14:textId="77777777">
      <w:pPr>
        <w:pStyle w:val="scemptylineheader"/>
      </w:pPr>
    </w:p>
    <w:p w:rsidRPr="00BB0725" w:rsidR="00A73EFA" w:rsidP="00BB0725" w:rsidRDefault="00A73EFA" w14:paraId="4C61FDF5" w14:textId="77777777">
      <w:pPr>
        <w:pStyle w:val="scemptylineheader"/>
      </w:pPr>
    </w:p>
    <w:p w:rsidRPr="00BB0725" w:rsidR="00A73EFA" w:rsidP="00BB0725" w:rsidRDefault="00A73EFA" w14:paraId="66587BB7" w14:textId="77777777">
      <w:pPr>
        <w:pStyle w:val="scemptylineheader"/>
      </w:pPr>
    </w:p>
    <w:p w:rsidRPr="00DF3B44" w:rsidR="00A73EFA" w:rsidP="00B7592C" w:rsidRDefault="00A73EFA" w14:paraId="6B8F01E8" w14:textId="77777777">
      <w:pPr>
        <w:pStyle w:val="scemptylineheader"/>
      </w:pPr>
    </w:p>
    <w:p w:rsidRPr="00DF3B44" w:rsidR="00A73EFA" w:rsidP="00B7592C" w:rsidRDefault="00A73EFA" w14:paraId="684906BB" w14:textId="77777777">
      <w:pPr>
        <w:pStyle w:val="scemptylineheader"/>
      </w:pPr>
    </w:p>
    <w:p w:rsidRPr="00DF3B44" w:rsidR="00A73EFA" w:rsidP="00B7592C" w:rsidRDefault="00A73EFA" w14:paraId="54943209" w14:textId="77777777">
      <w:pPr>
        <w:pStyle w:val="scemptylineheader"/>
      </w:pPr>
    </w:p>
    <w:p w:rsidRPr="00DF3B44" w:rsidR="002C3463" w:rsidP="00037F04" w:rsidRDefault="002C3463" w14:paraId="54507802" w14:textId="77777777">
      <w:pPr>
        <w:pStyle w:val="scemptylineheader"/>
      </w:pPr>
    </w:p>
    <w:p w:rsidRPr="00DF3B44" w:rsidR="008E61A1" w:rsidP="00446987" w:rsidRDefault="008E61A1" w14:paraId="2E18BE6B" w14:textId="77777777">
      <w:pPr>
        <w:pStyle w:val="scemptylineheader"/>
      </w:pPr>
    </w:p>
    <w:p w:rsidRPr="00DF3B44" w:rsidR="002C3463" w:rsidP="00EB120E" w:rsidRDefault="002C3463" w14:paraId="064DD29C" w14:textId="77777777">
      <w:pPr>
        <w:pStyle w:val="scbillheader"/>
      </w:pPr>
      <w:r w:rsidRPr="00DF3B44">
        <w:t>A bill</w:t>
      </w:r>
    </w:p>
    <w:p w:rsidRPr="00DF3B44" w:rsidR="002C3463" w:rsidP="001164F9" w:rsidRDefault="002C3463" w14:paraId="729565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6CDB" w14:paraId="68749C06" w14:textId="6D2F04AC">
          <w:pPr>
            <w:pStyle w:val="scbilltitle"/>
          </w:pPr>
          <w:r>
            <w:t>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w:t>
          </w:r>
          <w:r w:rsidR="00050E6C">
            <w:t>’S</w:t>
          </w:r>
          <w:r>
            <w:t xml:space="preserve">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sdtContent>
    </w:sdt>
    <w:bookmarkStart w:name="at_b6a3a1920" w:displacedByCustomXml="prev" w:id="0"/>
    <w:bookmarkEnd w:id="0"/>
    <w:p w:rsidRPr="00DF3B44" w:rsidR="006C18F0" w:rsidP="006C18F0" w:rsidRDefault="006C18F0" w14:paraId="5C928B7D" w14:textId="77777777">
      <w:pPr>
        <w:pStyle w:val="scbillwhereasclause"/>
      </w:pPr>
    </w:p>
    <w:p w:rsidRPr="0094541D" w:rsidR="007E06BB" w:rsidP="0094541D" w:rsidRDefault="002C3463" w14:paraId="7CFE172B" w14:textId="77777777">
      <w:pPr>
        <w:pStyle w:val="scenactingwords"/>
      </w:pPr>
      <w:bookmarkStart w:name="ew_f34572f52" w:id="1"/>
      <w:r w:rsidRPr="0094541D">
        <w:t>B</w:t>
      </w:r>
      <w:bookmarkEnd w:id="1"/>
      <w:r w:rsidRPr="0094541D">
        <w:t>e it enacted by the General Assembly of the State of South Carolina:</w:t>
      </w:r>
    </w:p>
    <w:p w:rsidR="00ED40FF" w:rsidP="00ED40FF" w:rsidRDefault="00ED40FF" w14:paraId="3ACBC7E1" w14:textId="77777777">
      <w:pPr>
        <w:pStyle w:val="scemptyline"/>
      </w:pPr>
    </w:p>
    <w:p w:rsidR="00ED40FF" w:rsidP="00ED40FF" w:rsidRDefault="00ED40FF" w14:paraId="36BFD4EF" w14:textId="77777777">
      <w:pPr>
        <w:pStyle w:val="scdirectionallanguage"/>
      </w:pPr>
      <w:bookmarkStart w:name="bs_num_1_9b8b6419e" w:id="2"/>
      <w:r>
        <w:t>S</w:t>
      </w:r>
      <w:bookmarkEnd w:id="2"/>
      <w:r>
        <w:t>ECTION 1.</w:t>
      </w:r>
      <w:r>
        <w:tab/>
      </w:r>
      <w:bookmarkStart w:name="dl_f3de5b637" w:id="3"/>
      <w:r>
        <w:t>S</w:t>
      </w:r>
      <w:bookmarkEnd w:id="3"/>
      <w:r>
        <w:t>ection 39‑5‑39 of the S.C. Code is amended to read:</w:t>
      </w:r>
    </w:p>
    <w:p w:rsidR="00575B62" w:rsidRDefault="00575B62" w14:paraId="7858B8A0" w14:textId="77777777">
      <w:pPr>
        <w:pStyle w:val="sccodifiedsection"/>
      </w:pPr>
    </w:p>
    <w:p w:rsidR="000B7D2A" w:rsidRDefault="00575B62" w14:paraId="2A79C2C0" w14:textId="53BC23F7">
      <w:pPr>
        <w:pStyle w:val="sccodifiedsection"/>
        <w:rPr>
          <w:rStyle w:val="scinsert"/>
        </w:rPr>
      </w:pPr>
      <w:r>
        <w:tab/>
      </w:r>
      <w:bookmarkStart w:name="cs_T39C5N39_1590b5f6c" w:id="4"/>
      <w:r>
        <w:t>S</w:t>
      </w:r>
      <w:bookmarkEnd w:id="4"/>
      <w:r>
        <w:t>ection 39‑5‑39.</w:t>
      </w:r>
      <w:r>
        <w:tab/>
      </w:r>
      <w:bookmarkStart w:name="ss_T39C5N39SA_lv1_76e8b4ba7" w:id="5"/>
      <w:r w:rsidR="0060503A">
        <w:rPr>
          <w:rStyle w:val="scinsert"/>
        </w:rPr>
        <w:t>(</w:t>
      </w:r>
      <w:bookmarkEnd w:id="5"/>
      <w:r w:rsidR="0060503A">
        <w:rPr>
          <w:rStyle w:val="scinsert"/>
        </w:rPr>
        <w:t xml:space="preserve">A) </w:t>
      </w:r>
      <w:r w:rsidR="000B7D2A">
        <w:rPr>
          <w:rStyle w:val="scinsert"/>
        </w:rPr>
        <w:t>Advertising shall be deemed false, deceptive, or misleading if it:</w:t>
      </w:r>
    </w:p>
    <w:p w:rsidR="000B7D2A" w:rsidRDefault="000B7D2A" w14:paraId="2D5AD70A" w14:textId="6171F737">
      <w:pPr>
        <w:pStyle w:val="sccodifiedsection"/>
        <w:rPr>
          <w:rStyle w:val="scinsert"/>
        </w:rPr>
      </w:pPr>
      <w:r>
        <w:rPr>
          <w:rStyle w:val="scinsert"/>
        </w:rPr>
        <w:tab/>
      </w:r>
      <w:r>
        <w:rPr>
          <w:rStyle w:val="scinsert"/>
        </w:rPr>
        <w:tab/>
      </w:r>
      <w:bookmarkStart w:name="ss_T39C5N39S1_lv2_a32cef50d" w:id="6"/>
      <w:r>
        <w:rPr>
          <w:rStyle w:val="scinsert"/>
        </w:rPr>
        <w:t>(</w:t>
      </w:r>
      <w:bookmarkEnd w:id="6"/>
      <w:r>
        <w:rPr>
          <w:rStyle w:val="scinsert"/>
        </w:rPr>
        <w:t>1) contains any statement, implication, or inference that guarantees, assures, or promises a particular outcome, recovery, verdict, settlement amount, or success rate;</w:t>
      </w:r>
    </w:p>
    <w:p w:rsidR="000B7D2A" w:rsidRDefault="000B7D2A" w14:paraId="1A0F461F" w14:textId="15071954">
      <w:pPr>
        <w:pStyle w:val="sccodifiedsection"/>
        <w:rPr>
          <w:rStyle w:val="scinsert"/>
        </w:rPr>
      </w:pPr>
      <w:r>
        <w:rPr>
          <w:rStyle w:val="scinsert"/>
        </w:rPr>
        <w:tab/>
      </w:r>
      <w:r>
        <w:rPr>
          <w:rStyle w:val="scinsert"/>
        </w:rPr>
        <w:tab/>
      </w:r>
      <w:bookmarkStart w:name="ss_T39C5N39S2_lv2_dc63d4d86" w:id="7"/>
      <w:r>
        <w:rPr>
          <w:rStyle w:val="scinsert"/>
        </w:rPr>
        <w:t>(</w:t>
      </w:r>
      <w:bookmarkEnd w:id="7"/>
      <w:r>
        <w:rPr>
          <w:rStyle w:val="scinsert"/>
        </w:rPr>
        <w:t>2) suggests that past results, case outcomes, or client recoveries are indicative of future results, unless accompanied by a clear and prominent statement that prior results do not guarantee a similar outcome; or</w:t>
      </w:r>
    </w:p>
    <w:p w:rsidR="000B7D2A" w:rsidRDefault="000B7D2A" w14:paraId="4D254C14" w14:textId="0B7228B9">
      <w:pPr>
        <w:pStyle w:val="sccodifiedsection"/>
        <w:rPr>
          <w:rStyle w:val="scinsert"/>
        </w:rPr>
      </w:pPr>
      <w:r>
        <w:rPr>
          <w:rStyle w:val="scinsert"/>
        </w:rPr>
        <w:tab/>
      </w:r>
      <w:r>
        <w:rPr>
          <w:rStyle w:val="scinsert"/>
        </w:rPr>
        <w:tab/>
      </w:r>
      <w:bookmarkStart w:name="ss_T39C5N39S3_lv2_17118a094" w:id="8"/>
      <w:r>
        <w:rPr>
          <w:rStyle w:val="scinsert"/>
        </w:rPr>
        <w:t>(</w:t>
      </w:r>
      <w:bookmarkEnd w:id="8"/>
      <w:r>
        <w:rPr>
          <w:rStyle w:val="scinsert"/>
        </w:rPr>
        <w:t>3) uses superlative, comparative, or predictive language that cannot be substantiated and that would reasonably lead a prospective client to expect results that are not typical or reasonably achievable.</w:t>
      </w:r>
    </w:p>
    <w:p w:rsidR="00575B62" w:rsidRDefault="000B7D2A" w14:paraId="7EAFD03A" w14:textId="4F6B4074">
      <w:pPr>
        <w:pStyle w:val="sccodifiedsection"/>
        <w:rPr>
          <w:rStyle w:val="scinsert"/>
        </w:rPr>
      </w:pPr>
      <w:r>
        <w:rPr>
          <w:rStyle w:val="scinsert"/>
        </w:rPr>
        <w:tab/>
      </w:r>
      <w:bookmarkStart w:name="ss_T39C5N39SB_lv1_807d68428" w:id="9"/>
      <w:r>
        <w:rPr>
          <w:rStyle w:val="scinsert"/>
        </w:rPr>
        <w:t>(</w:t>
      </w:r>
      <w:bookmarkEnd w:id="9"/>
      <w:r>
        <w:rPr>
          <w:rStyle w:val="scinsert"/>
        </w:rPr>
        <w:t xml:space="preserve">B) </w:t>
      </w:r>
      <w:r w:rsidR="00575B62">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p>
    <w:p w:rsidR="0060503A" w:rsidRDefault="0060503A" w14:paraId="76D35EB1" w14:textId="3FA8F15A">
      <w:pPr>
        <w:pStyle w:val="sccodifiedsection"/>
        <w:rPr>
          <w:rStyle w:val="scinsert"/>
        </w:rPr>
      </w:pPr>
      <w:r>
        <w:rPr>
          <w:rStyle w:val="scinsert"/>
        </w:rPr>
        <w:tab/>
      </w:r>
      <w:bookmarkStart w:name="ss_T39C5N39SC_lv1_d8a46d1b5" w:id="10"/>
      <w:r>
        <w:rPr>
          <w:rStyle w:val="scinsert"/>
        </w:rPr>
        <w:t>(</w:t>
      </w:r>
      <w:bookmarkEnd w:id="10"/>
      <w:r w:rsidR="008B0AF2">
        <w:rPr>
          <w:rStyle w:val="scinsert"/>
        </w:rPr>
        <w:t>C</w:t>
      </w:r>
      <w:r>
        <w:rPr>
          <w:rStyle w:val="scinsert"/>
        </w:rPr>
        <w:t>)</w:t>
      </w:r>
      <w:bookmarkStart w:name="ss_T39C5N39S1_lv2_1a68c51a6" w:id="11"/>
      <w:r w:rsidR="00BD0AD4">
        <w:rPr>
          <w:rStyle w:val="scinsert"/>
        </w:rPr>
        <w:t>(</w:t>
      </w:r>
      <w:bookmarkEnd w:id="11"/>
      <w:r w:rsidR="00BD0AD4">
        <w:rPr>
          <w:rStyle w:val="scinsert"/>
        </w:rPr>
        <w:t>1)</w:t>
      </w:r>
      <w:r>
        <w:rPr>
          <w:rStyle w:val="scinsert"/>
        </w:rPr>
        <w:t xml:space="preserve"> </w:t>
      </w:r>
      <w:r w:rsidRPr="0060503A">
        <w:rPr>
          <w:rStyle w:val="scinsert"/>
        </w:rPr>
        <w:t xml:space="preserve">Any advertising for legal services, in whatever form or medium, </w:t>
      </w:r>
      <w:r>
        <w:rPr>
          <w:rStyle w:val="scinsert"/>
        </w:rPr>
        <w:t>that</w:t>
      </w:r>
      <w:r w:rsidRPr="0060503A">
        <w:rPr>
          <w:rStyle w:val="scinsert"/>
        </w:rPr>
        <w:t xml:space="preserve"> references, depicts, or states a specific dollar amount of a settlement, verdict, judgment, or recovery obtained on behalf of a </w:t>
      </w:r>
      <w:r w:rsidRPr="0060503A">
        <w:rPr>
          <w:rStyle w:val="scinsert"/>
        </w:rPr>
        <w:lastRenderedPageBreak/>
        <w:t>client must clearly and conspicuously disclose</w:t>
      </w:r>
      <w:r>
        <w:rPr>
          <w:rStyle w:val="scinsert"/>
        </w:rPr>
        <w:t>,</w:t>
      </w:r>
      <w:r w:rsidRPr="0060503A">
        <w:rPr>
          <w:rStyle w:val="scinsert"/>
        </w:rPr>
        <w:t xml:space="preserve"> in close proximity and in a similar size to the referenced dollar amount</w:t>
      </w:r>
      <w:r>
        <w:rPr>
          <w:rStyle w:val="scinsert"/>
        </w:rPr>
        <w:t>,</w:t>
      </w:r>
      <w:r w:rsidRPr="0060503A">
        <w:rPr>
          <w:rStyle w:val="scinsert"/>
        </w:rPr>
        <w:t xml:space="preserve"> the amount or percentage of attorney fees deducted from the recovery and the amount of litigation costs or expenses deducted from the recovery.</w:t>
      </w:r>
    </w:p>
    <w:p w:rsidR="00BD0AD4" w:rsidRDefault="00BD0AD4" w14:paraId="3E5724BA" w14:textId="487AC2CA">
      <w:pPr>
        <w:pStyle w:val="sccodifiedsection"/>
        <w:rPr>
          <w:rStyle w:val="scinsert"/>
        </w:rPr>
      </w:pPr>
      <w:r>
        <w:rPr>
          <w:rStyle w:val="scinsert"/>
        </w:rPr>
        <w:tab/>
      </w:r>
      <w:r>
        <w:rPr>
          <w:rStyle w:val="scinsert"/>
        </w:rPr>
        <w:tab/>
      </w:r>
      <w:bookmarkStart w:name="ss_T39C5N39S2_lv2_101421bb3" w:id="12"/>
      <w:r>
        <w:rPr>
          <w:rStyle w:val="scinsert"/>
        </w:rPr>
        <w:t>(</w:t>
      </w:r>
      <w:bookmarkEnd w:id="12"/>
      <w:r>
        <w:rPr>
          <w:rStyle w:val="scinsert"/>
        </w:rPr>
        <w:t>2) Such a</w:t>
      </w:r>
      <w:r w:rsidRPr="0060503A">
        <w:rPr>
          <w:rStyle w:val="scinsert"/>
        </w:rPr>
        <w:t>dvertising for legal services</w:t>
      </w:r>
      <w:r>
        <w:rPr>
          <w:rStyle w:val="scinsert"/>
        </w:rPr>
        <w:t xml:space="preserve"> must also disclose, in a clear and prominent manner, that the referenced result is not representative of all cases and that outcomes depend on the specific facts and legal circumstances of each matter.</w:t>
      </w:r>
    </w:p>
    <w:p w:rsidR="0060503A" w:rsidRDefault="0060503A" w14:paraId="0E36157B" w14:textId="1315DF6C">
      <w:pPr>
        <w:pStyle w:val="sccodifiedsection"/>
        <w:rPr>
          <w:rStyle w:val="scinsert"/>
        </w:rPr>
      </w:pPr>
      <w:r>
        <w:rPr>
          <w:rStyle w:val="scinsert"/>
        </w:rPr>
        <w:tab/>
      </w:r>
      <w:bookmarkStart w:name="ss_T39C5N39SD_lv1_6f025d5a3" w:id="13"/>
      <w:r>
        <w:rPr>
          <w:rStyle w:val="scinsert"/>
        </w:rPr>
        <w:t>(</w:t>
      </w:r>
      <w:bookmarkEnd w:id="13"/>
      <w:r w:rsidR="008B0AF2">
        <w:rPr>
          <w:rStyle w:val="scinsert"/>
        </w:rPr>
        <w:t>D</w:t>
      </w:r>
      <w:r>
        <w:rPr>
          <w:rStyle w:val="scinsert"/>
        </w:rPr>
        <w:t xml:space="preserve">) </w:t>
      </w:r>
      <w:r w:rsidRPr="0060503A">
        <w:rPr>
          <w:rStyle w:val="scinsert"/>
        </w:rPr>
        <w:t xml:space="preserve">Any advertising for legal services, in whatever form or medium, </w:t>
      </w:r>
      <w:r>
        <w:rPr>
          <w:rStyle w:val="scinsert"/>
        </w:rPr>
        <w:t>that</w:t>
      </w:r>
      <w:r w:rsidRPr="0060503A">
        <w:rPr>
          <w:rStyle w:val="scinsert"/>
        </w:rPr>
        <w:t xml:space="preserve"> references, depicts, or states that the filing of a lawsuit or legal claim or suggesting that the lawsuit or claim is against an insurance company or other third party must</w:t>
      </w:r>
      <w:r w:rsidR="002950B2">
        <w:rPr>
          <w:rStyle w:val="scinsert"/>
        </w:rPr>
        <w:t xml:space="preserve"> disclose</w:t>
      </w:r>
      <w:r w:rsidRPr="0060503A">
        <w:rPr>
          <w:rStyle w:val="scinsert"/>
        </w:rPr>
        <w:t xml:space="preserve"> clearly and conspicuously</w:t>
      </w:r>
      <w:r w:rsidR="002950B2">
        <w:rPr>
          <w:rStyle w:val="scinsert"/>
        </w:rPr>
        <w:t xml:space="preserve">, </w:t>
      </w:r>
      <w:r w:rsidRPr="0060503A">
        <w:rPr>
          <w:rStyle w:val="scinsert"/>
        </w:rPr>
        <w:t>in close proximity and in a similar size, the following disclosure or substantially similar language</w:t>
      </w:r>
      <w:r w:rsidR="00A06DA8">
        <w:rPr>
          <w:rStyle w:val="scinsert"/>
        </w:rPr>
        <w:t>:</w:t>
      </w:r>
      <w:r w:rsidRPr="0060503A">
        <w:rPr>
          <w:rStyle w:val="scinsert"/>
        </w:rPr>
        <w:t xml:space="preserve"> </w:t>
      </w:r>
      <w:r w:rsidR="002950B2">
        <w:rPr>
          <w:rStyle w:val="scinsert"/>
        </w:rPr>
        <w:t>“A</w:t>
      </w:r>
      <w:r w:rsidRPr="0060503A">
        <w:rPr>
          <w:rStyle w:val="scinsert"/>
        </w:rPr>
        <w:t xml:space="preserve">ny lawsuit would be filed against an individual or business </w:t>
      </w:r>
      <w:r>
        <w:rPr>
          <w:rStyle w:val="scinsert"/>
        </w:rPr>
        <w:t>that</w:t>
      </w:r>
      <w:r w:rsidRPr="0060503A">
        <w:rPr>
          <w:rStyle w:val="scinsert"/>
        </w:rPr>
        <w:t xml:space="preserve"> would be named as the defendant and that the insurance company is only providing the coverage on behalf of the named individual or business based on a policy purchased by the individual or business.</w:t>
      </w:r>
      <w:r w:rsidR="002950B2">
        <w:rPr>
          <w:rStyle w:val="scinsert"/>
        </w:rPr>
        <w:t>”</w:t>
      </w:r>
    </w:p>
    <w:p w:rsidR="0060503A" w:rsidRDefault="0060503A" w14:paraId="0A4967A2" w14:textId="46ADCF72">
      <w:pPr>
        <w:pStyle w:val="sccodifiedsection"/>
        <w:rPr>
          <w:rStyle w:val="scinsert"/>
        </w:rPr>
      </w:pPr>
      <w:r>
        <w:rPr>
          <w:rStyle w:val="scinsert"/>
        </w:rPr>
        <w:tab/>
      </w:r>
      <w:bookmarkStart w:name="ss_T39C5N39SE_lv1_abbd2e328" w:id="14"/>
      <w:r>
        <w:rPr>
          <w:rStyle w:val="scinsert"/>
        </w:rPr>
        <w:t>(</w:t>
      </w:r>
      <w:bookmarkEnd w:id="14"/>
      <w:r w:rsidR="008B0AF2">
        <w:rPr>
          <w:rStyle w:val="scinsert"/>
        </w:rPr>
        <w:t>E</w:t>
      </w:r>
      <w:r>
        <w:rPr>
          <w:rStyle w:val="scinsert"/>
        </w:rPr>
        <w:t xml:space="preserve">) </w:t>
      </w:r>
      <w:r w:rsidRPr="0060503A">
        <w:rPr>
          <w:rStyle w:val="scinsert"/>
        </w:rPr>
        <w:t xml:space="preserve">A violation of </w:t>
      </w:r>
      <w:r w:rsidR="00A06DA8">
        <w:rPr>
          <w:rStyle w:val="scinsert"/>
        </w:rPr>
        <w:t>subsections (</w:t>
      </w:r>
      <w:r w:rsidR="00E16CDB">
        <w:rPr>
          <w:rStyle w:val="scinsert"/>
        </w:rPr>
        <w:t>C</w:t>
      </w:r>
      <w:r w:rsidR="00A06DA8">
        <w:rPr>
          <w:rStyle w:val="scinsert"/>
        </w:rPr>
        <w:t>) or (</w:t>
      </w:r>
      <w:r w:rsidR="00E16CDB">
        <w:rPr>
          <w:rStyle w:val="scinsert"/>
        </w:rPr>
        <w:t>D</w:t>
      </w:r>
      <w:r w:rsidR="00A06DA8">
        <w:rPr>
          <w:rStyle w:val="scinsert"/>
        </w:rPr>
        <w:t>)</w:t>
      </w:r>
      <w:r w:rsidRPr="0060503A">
        <w:rPr>
          <w:rStyle w:val="scinsert"/>
        </w:rPr>
        <w:t xml:space="preserve"> constitutes an unfair trade practice enforceable exclusively by the Department of Consumer Affairs who shall seek both monetary and injunctive relief.</w:t>
      </w:r>
    </w:p>
    <w:p w:rsidR="0060503A" w:rsidRDefault="0060503A" w14:paraId="786874B2" w14:textId="617DE2E7">
      <w:pPr>
        <w:pStyle w:val="sccodifiedsection"/>
      </w:pPr>
      <w:r>
        <w:rPr>
          <w:rStyle w:val="scinsert"/>
        </w:rPr>
        <w:tab/>
      </w:r>
      <w:bookmarkStart w:name="ss_T39C5N39SF_lv1_a0c834b33" w:id="15"/>
      <w:r>
        <w:rPr>
          <w:rStyle w:val="scinsert"/>
        </w:rPr>
        <w:t>(</w:t>
      </w:r>
      <w:bookmarkEnd w:id="15"/>
      <w:r w:rsidR="008B0AF2">
        <w:rPr>
          <w:rStyle w:val="scinsert"/>
        </w:rPr>
        <w:t>F</w:t>
      </w:r>
      <w:r>
        <w:rPr>
          <w:rStyle w:val="scinsert"/>
        </w:rPr>
        <w:t xml:space="preserve">) </w:t>
      </w:r>
      <w:r w:rsidR="00A06DA8">
        <w:rPr>
          <w:rStyle w:val="scinsert"/>
        </w:rPr>
        <w:t xml:space="preserve">A violation of this </w:t>
      </w:r>
      <w:r w:rsidRPr="0060503A">
        <w:rPr>
          <w:rStyle w:val="scinsert"/>
        </w:rPr>
        <w:t>section does not create any private cause of action for a violation of this section.</w:t>
      </w:r>
    </w:p>
    <w:p w:rsidRPr="00DF3B44" w:rsidR="007E06BB" w:rsidP="00787433" w:rsidRDefault="007E06BB" w14:paraId="39D435E2" w14:textId="77777777">
      <w:pPr>
        <w:pStyle w:val="scemptyline"/>
      </w:pPr>
    </w:p>
    <w:p w:rsidRPr="00DF3B44" w:rsidR="007A10F1" w:rsidP="007A10F1" w:rsidRDefault="00E27805" w14:paraId="1D23FFD6"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091A7B5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20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CB0B" w14:textId="77777777" w:rsidR="003C60AA" w:rsidRDefault="003C60AA" w:rsidP="0010329A">
      <w:pPr>
        <w:spacing w:after="0" w:line="240" w:lineRule="auto"/>
      </w:pPr>
      <w:r>
        <w:separator/>
      </w:r>
    </w:p>
    <w:p w14:paraId="3AC024C3" w14:textId="77777777" w:rsidR="003C60AA" w:rsidRDefault="003C60AA"/>
  </w:endnote>
  <w:endnote w:type="continuationSeparator" w:id="0">
    <w:p w14:paraId="0D1BEEF3" w14:textId="77777777" w:rsidR="003C60AA" w:rsidRDefault="003C60AA" w:rsidP="0010329A">
      <w:pPr>
        <w:spacing w:after="0" w:line="240" w:lineRule="auto"/>
      </w:pPr>
      <w:r>
        <w:continuationSeparator/>
      </w:r>
    </w:p>
    <w:p w14:paraId="03AA9F4C" w14:textId="77777777" w:rsidR="003C60AA" w:rsidRDefault="003C60AA"/>
  </w:endnote>
  <w:endnote w:type="continuationNotice" w:id="1">
    <w:p w14:paraId="7E32BF9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DB9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B566298" w14:textId="52CEDF96" w:rsidR="00685035" w:rsidRPr="007B4AF7" w:rsidRDefault="00050E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A4D2C">
              <w:t>[0821]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4D2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D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7383" w14:textId="77777777" w:rsidR="003C60AA" w:rsidRDefault="003C60AA" w:rsidP="0010329A">
      <w:pPr>
        <w:spacing w:after="0" w:line="240" w:lineRule="auto"/>
      </w:pPr>
      <w:r>
        <w:separator/>
      </w:r>
    </w:p>
    <w:p w14:paraId="5B443624" w14:textId="77777777" w:rsidR="003C60AA" w:rsidRDefault="003C60AA"/>
  </w:footnote>
  <w:footnote w:type="continuationSeparator" w:id="0">
    <w:p w14:paraId="746E152B" w14:textId="77777777" w:rsidR="003C60AA" w:rsidRDefault="003C60AA" w:rsidP="0010329A">
      <w:pPr>
        <w:spacing w:after="0" w:line="240" w:lineRule="auto"/>
      </w:pPr>
      <w:r>
        <w:continuationSeparator/>
      </w:r>
    </w:p>
    <w:p w14:paraId="3E2F167F" w14:textId="77777777" w:rsidR="003C60AA" w:rsidRDefault="003C60AA"/>
  </w:footnote>
  <w:footnote w:type="continuationNotice" w:id="1">
    <w:p w14:paraId="2F9760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25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91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74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AD"/>
    <w:rsid w:val="00037F04"/>
    <w:rsid w:val="000404BF"/>
    <w:rsid w:val="00044B84"/>
    <w:rsid w:val="000479D0"/>
    <w:rsid w:val="00050E6C"/>
    <w:rsid w:val="0006464F"/>
    <w:rsid w:val="00066B54"/>
    <w:rsid w:val="00072FCD"/>
    <w:rsid w:val="00074A4F"/>
    <w:rsid w:val="00077B65"/>
    <w:rsid w:val="000A3C25"/>
    <w:rsid w:val="000B4C02"/>
    <w:rsid w:val="000B5B4A"/>
    <w:rsid w:val="000B76BF"/>
    <w:rsid w:val="000B7D2A"/>
    <w:rsid w:val="000B7FE1"/>
    <w:rsid w:val="000C3E88"/>
    <w:rsid w:val="000C46B9"/>
    <w:rsid w:val="000C58E4"/>
    <w:rsid w:val="000C6F9A"/>
    <w:rsid w:val="000D2F44"/>
    <w:rsid w:val="000D33E4"/>
    <w:rsid w:val="000E578A"/>
    <w:rsid w:val="000F2250"/>
    <w:rsid w:val="0010329A"/>
    <w:rsid w:val="00105756"/>
    <w:rsid w:val="00106BD3"/>
    <w:rsid w:val="001164F9"/>
    <w:rsid w:val="0011719C"/>
    <w:rsid w:val="00131DE7"/>
    <w:rsid w:val="00140049"/>
    <w:rsid w:val="00141BC3"/>
    <w:rsid w:val="00171601"/>
    <w:rsid w:val="001730EB"/>
    <w:rsid w:val="00173276"/>
    <w:rsid w:val="00176122"/>
    <w:rsid w:val="0019025B"/>
    <w:rsid w:val="00192AF7"/>
    <w:rsid w:val="00197366"/>
    <w:rsid w:val="001A136C"/>
    <w:rsid w:val="001B6DA2"/>
    <w:rsid w:val="001C25EC"/>
    <w:rsid w:val="001C46A3"/>
    <w:rsid w:val="001F2A41"/>
    <w:rsid w:val="001F313F"/>
    <w:rsid w:val="001F3171"/>
    <w:rsid w:val="001F331D"/>
    <w:rsid w:val="001F394C"/>
    <w:rsid w:val="002038AA"/>
    <w:rsid w:val="002114C8"/>
    <w:rsid w:val="0021166F"/>
    <w:rsid w:val="002162DF"/>
    <w:rsid w:val="00216C27"/>
    <w:rsid w:val="00220156"/>
    <w:rsid w:val="002204DF"/>
    <w:rsid w:val="00230038"/>
    <w:rsid w:val="002312B9"/>
    <w:rsid w:val="00233975"/>
    <w:rsid w:val="00236D73"/>
    <w:rsid w:val="00246535"/>
    <w:rsid w:val="00257F60"/>
    <w:rsid w:val="002625EA"/>
    <w:rsid w:val="00262AC5"/>
    <w:rsid w:val="00264AE9"/>
    <w:rsid w:val="00275AE6"/>
    <w:rsid w:val="00281994"/>
    <w:rsid w:val="002836D8"/>
    <w:rsid w:val="002950B2"/>
    <w:rsid w:val="002A7989"/>
    <w:rsid w:val="002B02F3"/>
    <w:rsid w:val="002C3463"/>
    <w:rsid w:val="002C6F1E"/>
    <w:rsid w:val="002D266D"/>
    <w:rsid w:val="002D5B3D"/>
    <w:rsid w:val="002D61D0"/>
    <w:rsid w:val="002D7447"/>
    <w:rsid w:val="002E315A"/>
    <w:rsid w:val="002E4F8C"/>
    <w:rsid w:val="002F465C"/>
    <w:rsid w:val="002F560C"/>
    <w:rsid w:val="002F5847"/>
    <w:rsid w:val="0030425A"/>
    <w:rsid w:val="0031551A"/>
    <w:rsid w:val="003421F1"/>
    <w:rsid w:val="0034279C"/>
    <w:rsid w:val="00354F64"/>
    <w:rsid w:val="003559A1"/>
    <w:rsid w:val="00361563"/>
    <w:rsid w:val="00371D36"/>
    <w:rsid w:val="00372854"/>
    <w:rsid w:val="00373E17"/>
    <w:rsid w:val="003775E6"/>
    <w:rsid w:val="00381998"/>
    <w:rsid w:val="0038301D"/>
    <w:rsid w:val="00384FE2"/>
    <w:rsid w:val="003A0017"/>
    <w:rsid w:val="003A5F1C"/>
    <w:rsid w:val="003C3E2E"/>
    <w:rsid w:val="003C60AA"/>
    <w:rsid w:val="003D4A3C"/>
    <w:rsid w:val="003D4E7F"/>
    <w:rsid w:val="003D55B2"/>
    <w:rsid w:val="003E0033"/>
    <w:rsid w:val="003E5452"/>
    <w:rsid w:val="003E697A"/>
    <w:rsid w:val="003E7165"/>
    <w:rsid w:val="003E7FF6"/>
    <w:rsid w:val="003F5F5A"/>
    <w:rsid w:val="004046B5"/>
    <w:rsid w:val="00406F27"/>
    <w:rsid w:val="004141B8"/>
    <w:rsid w:val="004145D0"/>
    <w:rsid w:val="004203B9"/>
    <w:rsid w:val="00425D21"/>
    <w:rsid w:val="00432135"/>
    <w:rsid w:val="00437DA5"/>
    <w:rsid w:val="00446987"/>
    <w:rsid w:val="00446D28"/>
    <w:rsid w:val="00466CD0"/>
    <w:rsid w:val="00473583"/>
    <w:rsid w:val="004776AF"/>
    <w:rsid w:val="00477F32"/>
    <w:rsid w:val="00481850"/>
    <w:rsid w:val="004851A0"/>
    <w:rsid w:val="0048627F"/>
    <w:rsid w:val="004932AB"/>
    <w:rsid w:val="00494BEF"/>
    <w:rsid w:val="004A5512"/>
    <w:rsid w:val="004A6BE5"/>
    <w:rsid w:val="004B0C18"/>
    <w:rsid w:val="004B5136"/>
    <w:rsid w:val="004C1A04"/>
    <w:rsid w:val="004C20BC"/>
    <w:rsid w:val="004C5C9A"/>
    <w:rsid w:val="004D1442"/>
    <w:rsid w:val="004D3DCB"/>
    <w:rsid w:val="004E1946"/>
    <w:rsid w:val="004E3517"/>
    <w:rsid w:val="004E562E"/>
    <w:rsid w:val="004E66E9"/>
    <w:rsid w:val="004E7DDE"/>
    <w:rsid w:val="004F0090"/>
    <w:rsid w:val="004F172C"/>
    <w:rsid w:val="005002ED"/>
    <w:rsid w:val="00500DBC"/>
    <w:rsid w:val="005102BE"/>
    <w:rsid w:val="00523755"/>
    <w:rsid w:val="00523F7F"/>
    <w:rsid w:val="00524D54"/>
    <w:rsid w:val="0054531B"/>
    <w:rsid w:val="00546C24"/>
    <w:rsid w:val="005476FF"/>
    <w:rsid w:val="00550746"/>
    <w:rsid w:val="005516F6"/>
    <w:rsid w:val="00552842"/>
    <w:rsid w:val="00554E89"/>
    <w:rsid w:val="00556FF9"/>
    <w:rsid w:val="00564B58"/>
    <w:rsid w:val="00572281"/>
    <w:rsid w:val="0057247B"/>
    <w:rsid w:val="00575B62"/>
    <w:rsid w:val="005801DD"/>
    <w:rsid w:val="00590973"/>
    <w:rsid w:val="00592A40"/>
    <w:rsid w:val="005A28BC"/>
    <w:rsid w:val="005A5377"/>
    <w:rsid w:val="005B7817"/>
    <w:rsid w:val="005C06C8"/>
    <w:rsid w:val="005C23D7"/>
    <w:rsid w:val="005C40EB"/>
    <w:rsid w:val="005D02B4"/>
    <w:rsid w:val="005D3013"/>
    <w:rsid w:val="005D3F77"/>
    <w:rsid w:val="005E1E50"/>
    <w:rsid w:val="005E2B9C"/>
    <w:rsid w:val="005E3332"/>
    <w:rsid w:val="005F4EAE"/>
    <w:rsid w:val="005F76B0"/>
    <w:rsid w:val="00604429"/>
    <w:rsid w:val="0060503A"/>
    <w:rsid w:val="006067B0"/>
    <w:rsid w:val="00606A8B"/>
    <w:rsid w:val="00611EBA"/>
    <w:rsid w:val="006213A8"/>
    <w:rsid w:val="00623BEA"/>
    <w:rsid w:val="006347E9"/>
    <w:rsid w:val="00637481"/>
    <w:rsid w:val="00640C87"/>
    <w:rsid w:val="006454BB"/>
    <w:rsid w:val="00657CF4"/>
    <w:rsid w:val="00661463"/>
    <w:rsid w:val="00663B8D"/>
    <w:rsid w:val="00663E00"/>
    <w:rsid w:val="00664F48"/>
    <w:rsid w:val="00664FAD"/>
    <w:rsid w:val="0067345B"/>
    <w:rsid w:val="00676E62"/>
    <w:rsid w:val="006816D5"/>
    <w:rsid w:val="00683986"/>
    <w:rsid w:val="00685035"/>
    <w:rsid w:val="00685770"/>
    <w:rsid w:val="00690B81"/>
    <w:rsid w:val="00690DBA"/>
    <w:rsid w:val="006964F9"/>
    <w:rsid w:val="006A395F"/>
    <w:rsid w:val="006A65E2"/>
    <w:rsid w:val="006B37BD"/>
    <w:rsid w:val="006C092D"/>
    <w:rsid w:val="006C099D"/>
    <w:rsid w:val="006C18F0"/>
    <w:rsid w:val="006C7E01"/>
    <w:rsid w:val="006D64A5"/>
    <w:rsid w:val="006E0935"/>
    <w:rsid w:val="006E353F"/>
    <w:rsid w:val="006E35AB"/>
    <w:rsid w:val="00705082"/>
    <w:rsid w:val="00711AA9"/>
    <w:rsid w:val="00722155"/>
    <w:rsid w:val="00730C87"/>
    <w:rsid w:val="00736E3F"/>
    <w:rsid w:val="00737F19"/>
    <w:rsid w:val="00746EB1"/>
    <w:rsid w:val="00750D93"/>
    <w:rsid w:val="00755582"/>
    <w:rsid w:val="00762F25"/>
    <w:rsid w:val="00782BF8"/>
    <w:rsid w:val="00783C75"/>
    <w:rsid w:val="007849D9"/>
    <w:rsid w:val="00787433"/>
    <w:rsid w:val="007A10F1"/>
    <w:rsid w:val="007A3D50"/>
    <w:rsid w:val="007B2D29"/>
    <w:rsid w:val="007B412F"/>
    <w:rsid w:val="007B4AF7"/>
    <w:rsid w:val="007B4DBF"/>
    <w:rsid w:val="007C5458"/>
    <w:rsid w:val="007D2C67"/>
    <w:rsid w:val="007D6D71"/>
    <w:rsid w:val="007D787A"/>
    <w:rsid w:val="007E06BB"/>
    <w:rsid w:val="007F28C4"/>
    <w:rsid w:val="007F50D1"/>
    <w:rsid w:val="007F7731"/>
    <w:rsid w:val="00816D52"/>
    <w:rsid w:val="00817AF5"/>
    <w:rsid w:val="00831048"/>
    <w:rsid w:val="00834272"/>
    <w:rsid w:val="008474BC"/>
    <w:rsid w:val="008625C1"/>
    <w:rsid w:val="00871D77"/>
    <w:rsid w:val="0087671D"/>
    <w:rsid w:val="008806F9"/>
    <w:rsid w:val="00882038"/>
    <w:rsid w:val="00887957"/>
    <w:rsid w:val="00897D81"/>
    <w:rsid w:val="008A57E3"/>
    <w:rsid w:val="008B069D"/>
    <w:rsid w:val="008B0AF2"/>
    <w:rsid w:val="008B5BF4"/>
    <w:rsid w:val="008B71A4"/>
    <w:rsid w:val="008C0CEE"/>
    <w:rsid w:val="008C1B18"/>
    <w:rsid w:val="008D46EC"/>
    <w:rsid w:val="008E0E25"/>
    <w:rsid w:val="008E5BFF"/>
    <w:rsid w:val="008E61A1"/>
    <w:rsid w:val="008E722B"/>
    <w:rsid w:val="008F319C"/>
    <w:rsid w:val="008F6750"/>
    <w:rsid w:val="00902698"/>
    <w:rsid w:val="009031EF"/>
    <w:rsid w:val="00915EC3"/>
    <w:rsid w:val="00917EA3"/>
    <w:rsid w:val="00917EE0"/>
    <w:rsid w:val="00921C89"/>
    <w:rsid w:val="00926966"/>
    <w:rsid w:val="00926D03"/>
    <w:rsid w:val="00934036"/>
    <w:rsid w:val="00934889"/>
    <w:rsid w:val="00945240"/>
    <w:rsid w:val="0094541D"/>
    <w:rsid w:val="0094619E"/>
    <w:rsid w:val="009473EA"/>
    <w:rsid w:val="00954E7E"/>
    <w:rsid w:val="009554D9"/>
    <w:rsid w:val="009572F9"/>
    <w:rsid w:val="00960D0F"/>
    <w:rsid w:val="00965938"/>
    <w:rsid w:val="0097005E"/>
    <w:rsid w:val="0098366F"/>
    <w:rsid w:val="00983A03"/>
    <w:rsid w:val="00986063"/>
    <w:rsid w:val="00991F67"/>
    <w:rsid w:val="00992876"/>
    <w:rsid w:val="009A0DCE"/>
    <w:rsid w:val="009A22CD"/>
    <w:rsid w:val="009A3E4B"/>
    <w:rsid w:val="009B17CF"/>
    <w:rsid w:val="009B35FD"/>
    <w:rsid w:val="009B6815"/>
    <w:rsid w:val="009D2967"/>
    <w:rsid w:val="009D3C2B"/>
    <w:rsid w:val="009E4191"/>
    <w:rsid w:val="009F2AB1"/>
    <w:rsid w:val="009F4FAF"/>
    <w:rsid w:val="009F68F1"/>
    <w:rsid w:val="00A04529"/>
    <w:rsid w:val="00A0460F"/>
    <w:rsid w:val="00A0584B"/>
    <w:rsid w:val="00A06DA8"/>
    <w:rsid w:val="00A11BA4"/>
    <w:rsid w:val="00A17135"/>
    <w:rsid w:val="00A21A6F"/>
    <w:rsid w:val="00A24E56"/>
    <w:rsid w:val="00A26A62"/>
    <w:rsid w:val="00A35A9B"/>
    <w:rsid w:val="00A4070E"/>
    <w:rsid w:val="00A40CA0"/>
    <w:rsid w:val="00A43C4C"/>
    <w:rsid w:val="00A504A7"/>
    <w:rsid w:val="00A53677"/>
    <w:rsid w:val="00A53BF2"/>
    <w:rsid w:val="00A60D68"/>
    <w:rsid w:val="00A73EFA"/>
    <w:rsid w:val="00A77A3B"/>
    <w:rsid w:val="00A92F6F"/>
    <w:rsid w:val="00A97523"/>
    <w:rsid w:val="00AA7824"/>
    <w:rsid w:val="00AB0FA3"/>
    <w:rsid w:val="00AB73BF"/>
    <w:rsid w:val="00AC1676"/>
    <w:rsid w:val="00AC335C"/>
    <w:rsid w:val="00AC463E"/>
    <w:rsid w:val="00AC48A7"/>
    <w:rsid w:val="00AC77F3"/>
    <w:rsid w:val="00AD3BE2"/>
    <w:rsid w:val="00AD3E3D"/>
    <w:rsid w:val="00AE1EE4"/>
    <w:rsid w:val="00AE36EC"/>
    <w:rsid w:val="00AE7406"/>
    <w:rsid w:val="00AF1688"/>
    <w:rsid w:val="00AF46E6"/>
    <w:rsid w:val="00AF5139"/>
    <w:rsid w:val="00B06EDA"/>
    <w:rsid w:val="00B1161F"/>
    <w:rsid w:val="00B11661"/>
    <w:rsid w:val="00B32B4D"/>
    <w:rsid w:val="00B32EED"/>
    <w:rsid w:val="00B4137E"/>
    <w:rsid w:val="00B471DE"/>
    <w:rsid w:val="00B542B3"/>
    <w:rsid w:val="00B54A7B"/>
    <w:rsid w:val="00B54D9D"/>
    <w:rsid w:val="00B54DF7"/>
    <w:rsid w:val="00B56223"/>
    <w:rsid w:val="00B56E79"/>
    <w:rsid w:val="00B57AA7"/>
    <w:rsid w:val="00B637AA"/>
    <w:rsid w:val="00B63BE2"/>
    <w:rsid w:val="00B71819"/>
    <w:rsid w:val="00B7592C"/>
    <w:rsid w:val="00B809D3"/>
    <w:rsid w:val="00B81697"/>
    <w:rsid w:val="00B829E5"/>
    <w:rsid w:val="00B84B66"/>
    <w:rsid w:val="00B85475"/>
    <w:rsid w:val="00B9090A"/>
    <w:rsid w:val="00B92196"/>
    <w:rsid w:val="00B9228D"/>
    <w:rsid w:val="00B929EC"/>
    <w:rsid w:val="00B95364"/>
    <w:rsid w:val="00BB0725"/>
    <w:rsid w:val="00BC2EF7"/>
    <w:rsid w:val="00BC408A"/>
    <w:rsid w:val="00BC5023"/>
    <w:rsid w:val="00BC556C"/>
    <w:rsid w:val="00BD0AD4"/>
    <w:rsid w:val="00BD415A"/>
    <w:rsid w:val="00BD42DA"/>
    <w:rsid w:val="00BD4684"/>
    <w:rsid w:val="00BE08A7"/>
    <w:rsid w:val="00BE4391"/>
    <w:rsid w:val="00BF3E48"/>
    <w:rsid w:val="00C15F1B"/>
    <w:rsid w:val="00C16288"/>
    <w:rsid w:val="00C17D1D"/>
    <w:rsid w:val="00C402F8"/>
    <w:rsid w:val="00C45923"/>
    <w:rsid w:val="00C52EB0"/>
    <w:rsid w:val="00C543E7"/>
    <w:rsid w:val="00C6116C"/>
    <w:rsid w:val="00C70225"/>
    <w:rsid w:val="00C70D5A"/>
    <w:rsid w:val="00C72198"/>
    <w:rsid w:val="00C73C7D"/>
    <w:rsid w:val="00C75005"/>
    <w:rsid w:val="00C970DF"/>
    <w:rsid w:val="00CA07FE"/>
    <w:rsid w:val="00CA7E71"/>
    <w:rsid w:val="00CB2673"/>
    <w:rsid w:val="00CB701D"/>
    <w:rsid w:val="00CC3F0E"/>
    <w:rsid w:val="00CD08C9"/>
    <w:rsid w:val="00CD1FE8"/>
    <w:rsid w:val="00CD38CD"/>
    <w:rsid w:val="00CD3E0C"/>
    <w:rsid w:val="00CD5565"/>
    <w:rsid w:val="00CD616C"/>
    <w:rsid w:val="00CF0E68"/>
    <w:rsid w:val="00CF68D6"/>
    <w:rsid w:val="00CF7B4A"/>
    <w:rsid w:val="00D009F8"/>
    <w:rsid w:val="00D05097"/>
    <w:rsid w:val="00D078DA"/>
    <w:rsid w:val="00D14995"/>
    <w:rsid w:val="00D15D39"/>
    <w:rsid w:val="00D204F2"/>
    <w:rsid w:val="00D2455C"/>
    <w:rsid w:val="00D24D00"/>
    <w:rsid w:val="00D25023"/>
    <w:rsid w:val="00D26365"/>
    <w:rsid w:val="00D27F8C"/>
    <w:rsid w:val="00D33843"/>
    <w:rsid w:val="00D4409F"/>
    <w:rsid w:val="00D54A6F"/>
    <w:rsid w:val="00D57D57"/>
    <w:rsid w:val="00D62E42"/>
    <w:rsid w:val="00D772FB"/>
    <w:rsid w:val="00DA1AA0"/>
    <w:rsid w:val="00DA512B"/>
    <w:rsid w:val="00DB0A03"/>
    <w:rsid w:val="00DC44A8"/>
    <w:rsid w:val="00DE4BEE"/>
    <w:rsid w:val="00DE5B3D"/>
    <w:rsid w:val="00DE7112"/>
    <w:rsid w:val="00DF19BE"/>
    <w:rsid w:val="00DF3B44"/>
    <w:rsid w:val="00DF77B5"/>
    <w:rsid w:val="00E1249C"/>
    <w:rsid w:val="00E1372E"/>
    <w:rsid w:val="00E16CDB"/>
    <w:rsid w:val="00E21D30"/>
    <w:rsid w:val="00E24D9A"/>
    <w:rsid w:val="00E27805"/>
    <w:rsid w:val="00E27A11"/>
    <w:rsid w:val="00E30497"/>
    <w:rsid w:val="00E3203C"/>
    <w:rsid w:val="00E358A2"/>
    <w:rsid w:val="00E35C9A"/>
    <w:rsid w:val="00E3771B"/>
    <w:rsid w:val="00E40979"/>
    <w:rsid w:val="00E43F26"/>
    <w:rsid w:val="00E44C3E"/>
    <w:rsid w:val="00E46690"/>
    <w:rsid w:val="00E52A36"/>
    <w:rsid w:val="00E6378B"/>
    <w:rsid w:val="00E63EC3"/>
    <w:rsid w:val="00E63F35"/>
    <w:rsid w:val="00E653DA"/>
    <w:rsid w:val="00E65958"/>
    <w:rsid w:val="00E84FE5"/>
    <w:rsid w:val="00E879A5"/>
    <w:rsid w:val="00E879FC"/>
    <w:rsid w:val="00E9374E"/>
    <w:rsid w:val="00EA2574"/>
    <w:rsid w:val="00EA2F1F"/>
    <w:rsid w:val="00EA3F2E"/>
    <w:rsid w:val="00EA57EC"/>
    <w:rsid w:val="00EA6208"/>
    <w:rsid w:val="00EB120E"/>
    <w:rsid w:val="00EB1DDB"/>
    <w:rsid w:val="00EB34C8"/>
    <w:rsid w:val="00EB46E2"/>
    <w:rsid w:val="00EC0045"/>
    <w:rsid w:val="00ED40FF"/>
    <w:rsid w:val="00ED452E"/>
    <w:rsid w:val="00EE3CDA"/>
    <w:rsid w:val="00EF37A8"/>
    <w:rsid w:val="00EF531F"/>
    <w:rsid w:val="00EF659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168"/>
    <w:rsid w:val="00F900B4"/>
    <w:rsid w:val="00FA0F2E"/>
    <w:rsid w:val="00FA4D2C"/>
    <w:rsid w:val="00FA4DB1"/>
    <w:rsid w:val="00FB3F2A"/>
    <w:rsid w:val="00FC3593"/>
    <w:rsid w:val="00FD117D"/>
    <w:rsid w:val="00FD72E3"/>
    <w:rsid w:val="00FE06FC"/>
    <w:rsid w:val="00FE41C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B9E2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2C"/>
    <w:rPr>
      <w:lang w:val="en-US"/>
    </w:rPr>
  </w:style>
  <w:style w:type="character" w:default="1" w:styleId="DefaultParagraphFont">
    <w:name w:val="Default Paragraph Font"/>
    <w:uiPriority w:val="1"/>
    <w:semiHidden/>
    <w:unhideWhenUsed/>
    <w:rsid w:val="00FA4D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4D2C"/>
  </w:style>
  <w:style w:type="character" w:styleId="LineNumber">
    <w:name w:val="line number"/>
    <w:uiPriority w:val="99"/>
    <w:semiHidden/>
    <w:unhideWhenUsed/>
    <w:rsid w:val="00FA4D2C"/>
    <w:rPr>
      <w:rFonts w:ascii="Times New Roman" w:hAnsi="Times New Roman"/>
      <w:b w:val="0"/>
      <w:i w:val="0"/>
      <w:sz w:val="22"/>
    </w:rPr>
  </w:style>
  <w:style w:type="paragraph" w:styleId="NoSpacing">
    <w:name w:val="No Spacing"/>
    <w:uiPriority w:val="1"/>
    <w:qFormat/>
    <w:rsid w:val="00FA4D2C"/>
    <w:pPr>
      <w:spacing w:after="0" w:line="240" w:lineRule="auto"/>
    </w:pPr>
  </w:style>
  <w:style w:type="paragraph" w:customStyle="1" w:styleId="scemptylineheader">
    <w:name w:val="sc_emptyline_header"/>
    <w:qFormat/>
    <w:rsid w:val="00FA4D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4D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4D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4D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4D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4D2C"/>
    <w:rPr>
      <w:color w:val="808080"/>
    </w:rPr>
  </w:style>
  <w:style w:type="paragraph" w:customStyle="1" w:styleId="scdirectionallanguage">
    <w:name w:val="sc_directional_language"/>
    <w:qFormat/>
    <w:rsid w:val="00FA4D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4D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4D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4D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4D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4D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4D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4D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4D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4D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4D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4D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4D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4D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4D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4D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4D2C"/>
    <w:rPr>
      <w:rFonts w:ascii="Times New Roman" w:hAnsi="Times New Roman"/>
      <w:color w:val="auto"/>
      <w:sz w:val="22"/>
    </w:rPr>
  </w:style>
  <w:style w:type="paragraph" w:customStyle="1" w:styleId="scclippagebillheader">
    <w:name w:val="sc_clip_page_bill_header"/>
    <w:qFormat/>
    <w:rsid w:val="00FA4D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4D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4D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D2C"/>
    <w:rPr>
      <w:lang w:val="en-US"/>
    </w:rPr>
  </w:style>
  <w:style w:type="paragraph" w:styleId="Footer">
    <w:name w:val="footer"/>
    <w:basedOn w:val="Normal"/>
    <w:link w:val="FooterChar"/>
    <w:uiPriority w:val="99"/>
    <w:unhideWhenUsed/>
    <w:rsid w:val="00FA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D2C"/>
    <w:rPr>
      <w:lang w:val="en-US"/>
    </w:rPr>
  </w:style>
  <w:style w:type="paragraph" w:styleId="ListParagraph">
    <w:name w:val="List Paragraph"/>
    <w:basedOn w:val="Normal"/>
    <w:uiPriority w:val="34"/>
    <w:qFormat/>
    <w:rsid w:val="00FA4D2C"/>
    <w:pPr>
      <w:ind w:left="720"/>
      <w:contextualSpacing/>
    </w:pPr>
  </w:style>
  <w:style w:type="paragraph" w:customStyle="1" w:styleId="scbillfooter">
    <w:name w:val="sc_bill_footer"/>
    <w:qFormat/>
    <w:rsid w:val="00FA4D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4D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4D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4D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4D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4D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4D2C"/>
    <w:pPr>
      <w:widowControl w:val="0"/>
      <w:suppressAutoHyphens/>
      <w:spacing w:after="0" w:line="360" w:lineRule="auto"/>
    </w:pPr>
    <w:rPr>
      <w:rFonts w:ascii="Times New Roman" w:hAnsi="Times New Roman"/>
      <w:lang w:val="en-US"/>
    </w:rPr>
  </w:style>
  <w:style w:type="paragraph" w:customStyle="1" w:styleId="sctableln">
    <w:name w:val="sc_table_ln"/>
    <w:qFormat/>
    <w:rsid w:val="00FA4D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4D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4D2C"/>
    <w:rPr>
      <w:strike/>
      <w:dstrike w:val="0"/>
    </w:rPr>
  </w:style>
  <w:style w:type="character" w:customStyle="1" w:styleId="scinsert">
    <w:name w:val="sc_insert"/>
    <w:uiPriority w:val="1"/>
    <w:qFormat/>
    <w:rsid w:val="00FA4D2C"/>
    <w:rPr>
      <w:caps w:val="0"/>
      <w:smallCaps w:val="0"/>
      <w:strike w:val="0"/>
      <w:dstrike w:val="0"/>
      <w:vanish w:val="0"/>
      <w:u w:val="single"/>
      <w:vertAlign w:val="baseline"/>
    </w:rPr>
  </w:style>
  <w:style w:type="character" w:customStyle="1" w:styleId="scinsertred">
    <w:name w:val="sc_insert_red"/>
    <w:uiPriority w:val="1"/>
    <w:qFormat/>
    <w:rsid w:val="00FA4D2C"/>
    <w:rPr>
      <w:caps w:val="0"/>
      <w:smallCaps w:val="0"/>
      <w:strike w:val="0"/>
      <w:dstrike w:val="0"/>
      <w:vanish w:val="0"/>
      <w:color w:val="FF0000"/>
      <w:u w:val="single"/>
      <w:vertAlign w:val="baseline"/>
    </w:rPr>
  </w:style>
  <w:style w:type="character" w:customStyle="1" w:styleId="scinsertblue">
    <w:name w:val="sc_insert_blue"/>
    <w:uiPriority w:val="1"/>
    <w:qFormat/>
    <w:rsid w:val="00FA4D2C"/>
    <w:rPr>
      <w:caps w:val="0"/>
      <w:smallCaps w:val="0"/>
      <w:strike w:val="0"/>
      <w:dstrike w:val="0"/>
      <w:vanish w:val="0"/>
      <w:color w:val="0070C0"/>
      <w:u w:val="single"/>
      <w:vertAlign w:val="baseline"/>
    </w:rPr>
  </w:style>
  <w:style w:type="character" w:customStyle="1" w:styleId="scstrikered">
    <w:name w:val="sc_strike_red"/>
    <w:uiPriority w:val="1"/>
    <w:qFormat/>
    <w:rsid w:val="00FA4D2C"/>
    <w:rPr>
      <w:strike/>
      <w:dstrike w:val="0"/>
      <w:color w:val="FF0000"/>
    </w:rPr>
  </w:style>
  <w:style w:type="character" w:customStyle="1" w:styleId="scstrikeblue">
    <w:name w:val="sc_strike_blue"/>
    <w:uiPriority w:val="1"/>
    <w:qFormat/>
    <w:rsid w:val="00FA4D2C"/>
    <w:rPr>
      <w:strike/>
      <w:dstrike w:val="0"/>
      <w:color w:val="0070C0"/>
    </w:rPr>
  </w:style>
  <w:style w:type="character" w:customStyle="1" w:styleId="scinsertbluenounderline">
    <w:name w:val="sc_insert_blue_no_underline"/>
    <w:uiPriority w:val="1"/>
    <w:qFormat/>
    <w:rsid w:val="00FA4D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4D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4D2C"/>
    <w:rPr>
      <w:strike/>
      <w:dstrike w:val="0"/>
      <w:color w:val="0070C0"/>
      <w:lang w:val="en-US"/>
    </w:rPr>
  </w:style>
  <w:style w:type="character" w:customStyle="1" w:styleId="scstrikerednoncodified">
    <w:name w:val="sc_strike_red_non_codified"/>
    <w:uiPriority w:val="1"/>
    <w:qFormat/>
    <w:rsid w:val="00FA4D2C"/>
    <w:rPr>
      <w:strike/>
      <w:dstrike w:val="0"/>
      <w:color w:val="FF0000"/>
    </w:rPr>
  </w:style>
  <w:style w:type="paragraph" w:customStyle="1" w:styleId="scbillsiglines">
    <w:name w:val="sc_bill_sig_lines"/>
    <w:qFormat/>
    <w:rsid w:val="00FA4D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4D2C"/>
    <w:rPr>
      <w:bdr w:val="none" w:sz="0" w:space="0" w:color="auto"/>
      <w:shd w:val="clear" w:color="auto" w:fill="FEC6C6"/>
    </w:rPr>
  </w:style>
  <w:style w:type="character" w:customStyle="1" w:styleId="screstoreblue">
    <w:name w:val="sc_restore_blue"/>
    <w:uiPriority w:val="1"/>
    <w:qFormat/>
    <w:rsid w:val="00FA4D2C"/>
    <w:rPr>
      <w:color w:val="4472C4" w:themeColor="accent1"/>
      <w:bdr w:val="none" w:sz="0" w:space="0" w:color="auto"/>
      <w:shd w:val="clear" w:color="auto" w:fill="auto"/>
    </w:rPr>
  </w:style>
  <w:style w:type="character" w:customStyle="1" w:styleId="screstorered">
    <w:name w:val="sc_restore_red"/>
    <w:uiPriority w:val="1"/>
    <w:qFormat/>
    <w:rsid w:val="00FA4D2C"/>
    <w:rPr>
      <w:color w:val="FF0000"/>
      <w:bdr w:val="none" w:sz="0" w:space="0" w:color="auto"/>
      <w:shd w:val="clear" w:color="auto" w:fill="auto"/>
    </w:rPr>
  </w:style>
  <w:style w:type="character" w:customStyle="1" w:styleId="scstrikenewblue">
    <w:name w:val="sc_strike_new_blue"/>
    <w:uiPriority w:val="1"/>
    <w:qFormat/>
    <w:rsid w:val="00FA4D2C"/>
    <w:rPr>
      <w:strike w:val="0"/>
      <w:dstrike/>
      <w:color w:val="0070C0"/>
      <w:u w:val="none"/>
    </w:rPr>
  </w:style>
  <w:style w:type="character" w:customStyle="1" w:styleId="scstrikenewred">
    <w:name w:val="sc_strike_new_red"/>
    <w:uiPriority w:val="1"/>
    <w:qFormat/>
    <w:rsid w:val="00FA4D2C"/>
    <w:rPr>
      <w:strike w:val="0"/>
      <w:dstrike/>
      <w:color w:val="FF0000"/>
      <w:u w:val="none"/>
    </w:rPr>
  </w:style>
  <w:style w:type="character" w:customStyle="1" w:styleId="scamendsenate">
    <w:name w:val="sc_amend_senate"/>
    <w:uiPriority w:val="1"/>
    <w:qFormat/>
    <w:rsid w:val="00FA4D2C"/>
    <w:rPr>
      <w:bdr w:val="none" w:sz="0" w:space="0" w:color="auto"/>
      <w:shd w:val="clear" w:color="auto" w:fill="FFF2CC" w:themeFill="accent4" w:themeFillTint="33"/>
    </w:rPr>
  </w:style>
  <w:style w:type="character" w:customStyle="1" w:styleId="scamendhouse">
    <w:name w:val="sc_amend_house"/>
    <w:uiPriority w:val="1"/>
    <w:qFormat/>
    <w:rsid w:val="00FA4D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050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21&amp;session=126&amp;summary=B" TargetMode="External" Id="R0428036a5f8b4f4a" /><Relationship Type="http://schemas.openxmlformats.org/officeDocument/2006/relationships/hyperlink" Target="https://www.scstatehouse.gov/sess126_2025-2026/prever/821_20260115.docx" TargetMode="External" Id="R1f0b5d276d564242" /><Relationship Type="http://schemas.openxmlformats.org/officeDocument/2006/relationships/hyperlink" Target="https://www.scstatehouse.gov/sess126_2025-2026/prever/821_20260121.docx" TargetMode="External" Id="Re4b0fce6d8114ee4" /><Relationship Type="http://schemas.openxmlformats.org/officeDocument/2006/relationships/hyperlink" Target="h:\sj\20260115.docx" TargetMode="External" Id="R27eebcc4f23849f7" /><Relationship Type="http://schemas.openxmlformats.org/officeDocument/2006/relationships/hyperlink" Target="h:\sj\20260115.docx" TargetMode="External" Id="Rb6ad14d3f7e840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4FE2"/>
    <w:rsid w:val="003E4FBC"/>
    <w:rsid w:val="003F4940"/>
    <w:rsid w:val="004E2BB5"/>
    <w:rsid w:val="00580C56"/>
    <w:rsid w:val="006B363F"/>
    <w:rsid w:val="007070D2"/>
    <w:rsid w:val="00730C87"/>
    <w:rsid w:val="00776F2C"/>
    <w:rsid w:val="008F6750"/>
    <w:rsid w:val="008F7723"/>
    <w:rsid w:val="009031EF"/>
    <w:rsid w:val="00912A5F"/>
    <w:rsid w:val="00940EED"/>
    <w:rsid w:val="00985255"/>
    <w:rsid w:val="009C3651"/>
    <w:rsid w:val="00A0460F"/>
    <w:rsid w:val="00A11BA4"/>
    <w:rsid w:val="00A51DBA"/>
    <w:rsid w:val="00AC77F3"/>
    <w:rsid w:val="00B20DA6"/>
    <w:rsid w:val="00B457AF"/>
    <w:rsid w:val="00BF56C3"/>
    <w:rsid w:val="00C818FB"/>
    <w:rsid w:val="00CC0451"/>
    <w:rsid w:val="00D6665C"/>
    <w:rsid w:val="00D900BD"/>
    <w:rsid w:val="00E44C3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05d24717-5f64-4855-a2a8-ff07452e3c42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d0579290-3e45-46bd-91b3-20d974451c91</T_BILL_REQUEST_REQUEST>
  <T_BILL_R_ORIGINALDRAFT>3cff0815-40f9-43c5-9322-2d76394088a2</T_BILL_R_ORIGINALDRAFT>
  <T_BILL_SPONSOR_SPONSOR>0b4d42dd-2ddc-4a55-b63c-99d15523148c</T_BILL_SPONSOR_SPONSOR>
  <T_BILL_T_BILLNAME>[0821]</T_BILL_T_BILLNAME>
  <T_BILL_T_BILLNUMBER>821</T_BILL_T_BILLNUMBER>
  <T_BILL_T_BILLTITLE>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T_BILL_T_BILLTITLE>
  <T_BILL_T_CHAMBER>senate</T_BILL_T_CHAMBER>
  <T_BILL_T_FILENAME> </T_BILL_T_FILENAME>
  <T_BILL_T_LEGTYPE>bill_statewide</T_BILL_T_LEGTYPE>
  <T_BILL_T_RATNUMBERSTRING>SNone</T_BILL_T_RATNUMBERSTRING>
  <T_BILL_T_SECTIONS>[{"SectionUUID":"cca50bc3-159a-440a-b223-0ebfce5f3ef1","SectionName":"code_section","SectionNumber":1,"SectionType":"code_section","CodeSections":[{"CodeSectionBookmarkName":"cs_T39C5N39_1590b5f6c","IsConstitutionSection":false,"Identity":"39-5-39","IsNew":false,"SubSections":[{"Level":1,"Identity":"T39C5N39SA","SubSectionBookmarkName":"ss_T39C5N39SA_lv1_76e8b4ba7","IsNewSubSection":false,"SubSectionReplacement":""},{"Level":1,"Identity":"T39C5N39SC","SubSectionBookmarkName":"ss_T39C5N39SC_lv1_d8a46d1b5","IsNewSubSection":false,"SubSectionReplacement":""},{"Level":1,"Identity":"T39C5N39SD","SubSectionBookmarkName":"ss_T39C5N39SD_lv1_6f025d5a3","IsNewSubSection":false,"SubSectionReplacement":""},{"Level":1,"Identity":"T39C5N39SE","SubSectionBookmarkName":"ss_T39C5N39SE_lv1_abbd2e328","IsNewSubSection":false,"SubSectionReplacement":""},{"Level":1,"Identity":"T39C5N39SF","SubSectionBookmarkName":"ss_T39C5N39SF_lv1_a0c834b33","IsNewSubSection":false,"SubSectionReplacement":""},{"Level":2,"Identity":"T39C5N39S1","SubSectionBookmarkName":"ss_T39C5N39S1_lv2_a32cef50d","IsNewSubSection":false,"SubSectionReplacement":""},{"Level":2,"Identity":"T39C5N39S2","SubSectionBookmarkName":"ss_T39C5N39S2_lv2_dc63d4d86","IsNewSubSection":false,"SubSectionReplacement":""},{"Level":2,"Identity":"T39C5N39S3","SubSectionBookmarkName":"ss_T39C5N39S3_lv2_17118a094","IsNewSubSection":false,"SubSectionReplacement":""},{"Level":1,"Identity":"T39C5N39SB","SubSectionBookmarkName":"ss_T39C5N39SB_lv1_807d68428","IsNewSubSection":false,"SubSectionReplacement":""},{"Level":2,"Identity":"T39C5N39S1","SubSectionBookmarkName":"ss_T39C5N39S1_lv2_1a68c51a6","IsNewSubSection":false,"SubSectionReplacement":""},{"Level":2,"Identity":"T39C5N39S2","SubSectionBookmarkName":"ss_T39C5N39S2_lv2_101421bb3","IsNewSubSection":false,"SubSectionReplacement":""}],"TitleRelatedTo":"an Attorney advertising in a false, deceptive, or misleading manner","TitleSoAsTo":"provide that any advertising for legal services that references a settlement obtained on behalf of a client must disclose the amount of attorney fees and litigation costs deducted from the recovery;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Deleted":false,"IsStricken":false}],"TitleText":"","DisableControls":false,"Deleted":false,"RepealItems":[],"SectionBookmarkName":"bs_num_1_9b8b6419e"},{"SectionUUID":"8f03ca95-8faa-4d43-a9c2-8afc498075bd","SectionName":"standard_eff_date_section","SectionNumber":2,"SectionType":"drafting_clause","CodeSections":[],"TitleText":"","DisableControls":false,"Deleted":false,"RepealItems":[],"SectionBookmarkName":"bs_num_2_lastsection"}]</T_BILL_T_SECTIONS>
  <T_BILL_T_SUBJECT>Lawyer Advertising Unfair Practice</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3277</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2026-01-21T19:38:00Z</dcterms:created>
  <dcterms:modified xsi:type="dcterms:W3CDTF">2026-01-21T19:40:00Z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