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892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Ott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SJ-0020MB26.docx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February 4,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Civil Appeal Bonds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2/4/2026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8633c49125404f7c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2/4/2026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d24df7a37eae4577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7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f802d91fd0ab4a08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0e999005345241d1">
        <w:r>
          <w:rPr>
            <w:rStyle w:val="Hyperlink"/>
            <w:u w:val="single"/>
          </w:rPr>
          <w:t>02/04/2026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0DF42C59" w14:textId="77777777">
      <w:pPr>
        <w:pStyle w:val="scemptylineheader"/>
      </w:pPr>
      <w:bookmarkStart w:name="open_doc_here" w:id="0"/>
      <w:bookmarkEnd w:id="0"/>
    </w:p>
    <w:p w:rsidRPr="00BB0725" w:rsidR="00A73EFA" w:rsidP="00BB0725" w:rsidRDefault="00A73EFA" w14:paraId="6B55F8C5" w14:textId="77777777">
      <w:pPr>
        <w:pStyle w:val="scemptylineheader"/>
      </w:pPr>
    </w:p>
    <w:p w:rsidRPr="00BB0725" w:rsidR="00A73EFA" w:rsidP="00BB0725" w:rsidRDefault="00A73EFA" w14:paraId="5C357E5F" w14:textId="77777777">
      <w:pPr>
        <w:pStyle w:val="scemptylineheader"/>
      </w:pPr>
    </w:p>
    <w:p w:rsidRPr="00DF3B44" w:rsidR="00A73EFA" w:rsidP="00B7592C" w:rsidRDefault="00A73EFA" w14:paraId="0B3DF66E" w14:textId="77777777">
      <w:pPr>
        <w:pStyle w:val="scemptylineheader"/>
      </w:pPr>
    </w:p>
    <w:p w:rsidRPr="00DF3B44" w:rsidR="00A73EFA" w:rsidP="00B7592C" w:rsidRDefault="00A73EFA" w14:paraId="63238D5C" w14:textId="77777777">
      <w:pPr>
        <w:pStyle w:val="scemptylineheader"/>
      </w:pPr>
    </w:p>
    <w:p w:rsidRPr="00DF3B44" w:rsidR="00A73EFA" w:rsidP="00B7592C" w:rsidRDefault="00A73EFA" w14:paraId="65F2F37D" w14:textId="77777777">
      <w:pPr>
        <w:pStyle w:val="scemptylineheader"/>
      </w:pPr>
    </w:p>
    <w:p w:rsidRPr="00DF3B44" w:rsidR="002C3463" w:rsidP="00037F04" w:rsidRDefault="002C3463" w14:paraId="3473DFEC" w14:textId="77777777">
      <w:pPr>
        <w:pStyle w:val="scemptylineheader"/>
      </w:pPr>
    </w:p>
    <w:p w:rsidRPr="00DF3B44" w:rsidR="008E61A1" w:rsidP="00446987" w:rsidRDefault="008E61A1" w14:paraId="5C622E95" w14:textId="77777777">
      <w:pPr>
        <w:pStyle w:val="scemptylineheader"/>
      </w:pPr>
    </w:p>
    <w:p w:rsidRPr="00DF3B44" w:rsidR="002C3463" w:rsidP="00EB120E" w:rsidRDefault="002C3463" w14:paraId="3DA1FFC4" w14:textId="77777777">
      <w:pPr>
        <w:pStyle w:val="scbillheader"/>
      </w:pPr>
      <w:r w:rsidRPr="00DF3B44">
        <w:t>A bill</w:t>
      </w:r>
    </w:p>
    <w:p w:rsidRPr="00DF3B44" w:rsidR="002C3463" w:rsidP="001164F9" w:rsidRDefault="002C3463" w14:paraId="0ADDE2CA" w14:textId="77777777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D96107" w14:paraId="7D521806" w14:textId="06D925E5">
          <w:pPr>
            <w:pStyle w:val="scbilltitle"/>
          </w:pPr>
          <w:r>
            <w:t>TO AMEND THE SOUTH CAROLINA CODE OF LAWS BY ADDING SECTION 6‑29‑1230 SO AS TO PERMIT THE COURT TO AWARD ATTORNEY’S FEES AND COSTS INCURRED BY AN APPLICANT AND/OR PROPERTY OWNER TO DEFEND AN APPELLATE PROCEEDING WHERE THE COURT DISMISSES THE APPEAL OR THE DECISION IS NOT REVERSED; SO AS TO ESTABLISH AN APPLICANT AND/OR PROPERTY OWNER IS NOT ENTITLED TO RECOVER IN AN APPEAL WHERE THE DECISION WAS GRANTED FOR A SPECIAL EXCEPTION; SO AS TO PROVIDE THAT THE AMOUNT AWARDED SHALL NOT EXCEED REASONABLE ATTORNEY’S FEES THAT THE APPLICANT AND/OR THE PROPERTY OWNER INCUR; AND SO AS TO INCLUDE THE FACTORS TO CONSIDER IN DETERMINING A REASONABLE RATE FOR ATTORNEY’S FEES.</w:t>
          </w:r>
        </w:p>
      </w:sdtContent>
    </w:sdt>
    <w:bookmarkStart w:name="at_dd2a71a1a" w:displacedByCustomXml="prev" w:id="1"/>
    <w:bookmarkEnd w:id="1"/>
    <w:p w:rsidRPr="00DF3B44" w:rsidR="006C18F0" w:rsidP="006C18F0" w:rsidRDefault="006C18F0" w14:paraId="5170AAAB" w14:textId="77777777">
      <w:pPr>
        <w:pStyle w:val="scbillwhereasclause"/>
      </w:pPr>
    </w:p>
    <w:p w:rsidRPr="0094541D" w:rsidR="007E06BB" w:rsidP="0094541D" w:rsidRDefault="002C3463" w14:paraId="6A505223" w14:textId="77777777">
      <w:pPr>
        <w:pStyle w:val="scenactingwords"/>
      </w:pPr>
      <w:bookmarkStart w:name="ew_52e703d08" w:id="2"/>
      <w:r w:rsidRPr="0094541D">
        <w:t>B</w:t>
      </w:r>
      <w:bookmarkEnd w:id="2"/>
      <w:r w:rsidRPr="0094541D">
        <w:t>e it enacted by the General Assembly of the State of South Carolina:</w:t>
      </w:r>
    </w:p>
    <w:p w:rsidRPr="00DF3B44" w:rsidR="007E06BB" w:rsidP="00787433" w:rsidRDefault="007E06BB" w14:paraId="38EE89D7" w14:textId="77777777">
      <w:pPr>
        <w:pStyle w:val="scemptyline"/>
      </w:pPr>
    </w:p>
    <w:p w:rsidR="00C7186C" w:rsidRDefault="00C7186C" w14:paraId="322ACB1B" w14:textId="77777777">
      <w:pPr>
        <w:pStyle w:val="scdirectionallanguage"/>
      </w:pPr>
      <w:bookmarkStart w:name="bs_num_1_aea0c41be" w:id="3"/>
      <w:r>
        <w:t>S</w:t>
      </w:r>
      <w:bookmarkEnd w:id="3"/>
      <w:r>
        <w:t>ECTION 1.</w:t>
      </w:r>
      <w:r>
        <w:tab/>
      </w:r>
      <w:bookmarkStart w:name="dl_37c93d056" w:id="4"/>
      <w:r>
        <w:t>C</w:t>
      </w:r>
      <w:bookmarkEnd w:id="4"/>
      <w:r>
        <w:t>hapter 29, Title 6 of the S.C. Code is amended by adding:</w:t>
      </w:r>
    </w:p>
    <w:p w:rsidR="00C7186C" w:rsidRDefault="00C7186C" w14:paraId="2EBEA805" w14:textId="77777777">
      <w:pPr>
        <w:pStyle w:val="scnewcodesection"/>
      </w:pPr>
    </w:p>
    <w:p w:rsidR="00C7186C" w:rsidRDefault="00C7186C" w14:paraId="6340A028" w14:textId="30EB9920">
      <w:pPr>
        <w:pStyle w:val="scnewcodesection"/>
      </w:pPr>
      <w:r>
        <w:tab/>
      </w:r>
      <w:bookmarkStart w:name="ns_T6C29N1230_71d54b89c" w:id="5"/>
      <w:r>
        <w:t>S</w:t>
      </w:r>
      <w:bookmarkEnd w:id="5"/>
      <w:r>
        <w:t>ection 6‑29‑1230.</w:t>
      </w:r>
      <w:r>
        <w:tab/>
      </w:r>
      <w:bookmarkStart w:name="ss_T6C29N1230SA_lv1_95a303ab7" w:id="6"/>
      <w:r>
        <w:t>(</w:t>
      </w:r>
      <w:bookmarkEnd w:id="6"/>
      <w:r>
        <w:t xml:space="preserve">A) The court may award the applicant and/or </w:t>
      </w:r>
      <w:r w:rsidR="00FE3AD9">
        <w:t>property owner</w:t>
      </w:r>
      <w:r>
        <w:t xml:space="preserve"> whose application was approved by the planning commission, board of zo</w:t>
      </w:r>
      <w:r w:rsidR="005F0B41">
        <w:t>n</w:t>
      </w:r>
      <w:r>
        <w:t>ing appeals, board of architectural review, or a similar body the reasonable attorney’s fees and costs</w:t>
      </w:r>
      <w:r w:rsidR="005F0B41">
        <w:t xml:space="preserve"> incurred</w:t>
      </w:r>
      <w:r>
        <w:t xml:space="preserve"> to defend the decision in appellate proceedings brought pursuant to this chapter. The applicant and/or </w:t>
      </w:r>
      <w:r w:rsidR="005F0B41">
        <w:t xml:space="preserve">property owner </w:t>
      </w:r>
      <w:r>
        <w:t>is presumptively entitled to recover</w:t>
      </w:r>
      <w:r w:rsidR="005F0B41">
        <w:t xml:space="preserve"> his</w:t>
      </w:r>
      <w:r>
        <w:t xml:space="preserve"> fees and costs from an appellant or appellants if the court dismisses such appeal or if the decision is not reversed on appeal.</w:t>
      </w:r>
    </w:p>
    <w:p w:rsidR="00C7186C" w:rsidRDefault="00C7186C" w14:paraId="2FAC49F8" w14:textId="4ABAC0EE">
      <w:pPr>
        <w:pStyle w:val="scnewcodesection"/>
      </w:pPr>
      <w:r>
        <w:tab/>
      </w:r>
      <w:bookmarkStart w:name="ss_T6C29N1230SB_lv1_601e6475d" w:id="7"/>
      <w:r>
        <w:t>(</w:t>
      </w:r>
      <w:bookmarkEnd w:id="7"/>
      <w:r>
        <w:t>B) An applicant and/or property owner is not entitled to recover under this Section in any appeal of a decision granting an application for a special exception.</w:t>
      </w:r>
    </w:p>
    <w:p w:rsidR="00C7186C" w:rsidRDefault="00C7186C" w14:paraId="00685257" w14:textId="60AFE7FB">
      <w:pPr>
        <w:pStyle w:val="scnewcodesection"/>
      </w:pPr>
      <w:r>
        <w:tab/>
      </w:r>
      <w:bookmarkStart w:name="ss_T6C29N1230SC_lv1_5461d98fd" w:id="8"/>
      <w:r>
        <w:t>(</w:t>
      </w:r>
      <w:bookmarkEnd w:id="8"/>
      <w:r>
        <w:t xml:space="preserve">C) In no event shall the amount awarded exceed the fees that the applicant and/or property owner </w:t>
      </w:r>
      <w:r w:rsidR="005F0B41">
        <w:t>contracted</w:t>
      </w:r>
      <w:r>
        <w:t xml:space="preserve"> to pay counsel for work relating to the appeal. Attorney’s fees shall be limited to a reasonable time expended </w:t>
      </w:r>
      <w:r w:rsidR="005F0B41">
        <w:t>at</w:t>
      </w:r>
      <w:r>
        <w:t xml:space="preserve"> a reasonable rate. Factors to be applied in determining a reasonable rate include:</w:t>
      </w:r>
    </w:p>
    <w:p w:rsidR="00C7186C" w:rsidRDefault="00C7186C" w14:paraId="0B52F594" w14:textId="022E1E95">
      <w:pPr>
        <w:pStyle w:val="scnewcodesection"/>
      </w:pPr>
      <w:r>
        <w:tab/>
      </w:r>
      <w:r>
        <w:tab/>
      </w:r>
      <w:bookmarkStart w:name="ss_T6C29N1230S1_lv2_4f86fdc32" w:id="9"/>
      <w:r>
        <w:t>(</w:t>
      </w:r>
      <w:bookmarkEnd w:id="9"/>
      <w:r>
        <w:t>1) the nature, extent, and difficulty of the case;</w:t>
      </w:r>
    </w:p>
    <w:p w:rsidR="00C7186C" w:rsidRDefault="00C7186C" w14:paraId="37E6EC38" w14:textId="43E04930">
      <w:pPr>
        <w:pStyle w:val="scnewcodesection"/>
      </w:pPr>
      <w:r>
        <w:tab/>
      </w:r>
      <w:r>
        <w:tab/>
      </w:r>
      <w:bookmarkStart w:name="ss_T6C29N1230S2_lv2_d8e1c5ce9" w:id="10"/>
      <w:r>
        <w:t>(</w:t>
      </w:r>
      <w:bookmarkEnd w:id="10"/>
      <w:r>
        <w:t>2) the time devoted;</w:t>
      </w:r>
    </w:p>
    <w:p w:rsidR="00C7186C" w:rsidRDefault="00C7186C" w14:paraId="2E3D0FDC" w14:textId="08970D95">
      <w:pPr>
        <w:pStyle w:val="scnewcodesection"/>
      </w:pPr>
      <w:r>
        <w:tab/>
      </w:r>
      <w:r>
        <w:tab/>
      </w:r>
      <w:bookmarkStart w:name="ss_T6C29N1230S3_lv2_eb7ec4f5b" w:id="11"/>
      <w:r>
        <w:t>(</w:t>
      </w:r>
      <w:bookmarkEnd w:id="11"/>
      <w:r>
        <w:t>3) the professional standing of counsel;</w:t>
      </w:r>
    </w:p>
    <w:p w:rsidR="00C7186C" w:rsidRDefault="00C7186C" w14:paraId="2986DDAD" w14:textId="364558C6">
      <w:pPr>
        <w:pStyle w:val="scnewcodesection"/>
      </w:pPr>
      <w:r>
        <w:tab/>
      </w:r>
      <w:r>
        <w:tab/>
      </w:r>
      <w:bookmarkStart w:name="ss_T6C29N1230S4_lv2_e6b6da3bf" w:id="12"/>
      <w:r>
        <w:t>(</w:t>
      </w:r>
      <w:bookmarkEnd w:id="12"/>
      <w:r>
        <w:t>4) the beneficial results obtained; and</w:t>
      </w:r>
    </w:p>
    <w:p w:rsidR="00C7186C" w:rsidRDefault="00C7186C" w14:paraId="73FD0DEE" w14:textId="2104D5BA">
      <w:pPr>
        <w:pStyle w:val="scnewcodesection"/>
      </w:pPr>
      <w:r>
        <w:tab/>
      </w:r>
      <w:r>
        <w:tab/>
      </w:r>
      <w:bookmarkStart w:name="ss_T6C29N1230S5_lv2_c04037475" w:id="13"/>
      <w:r>
        <w:t>(</w:t>
      </w:r>
      <w:bookmarkEnd w:id="13"/>
      <w:r>
        <w:t>5) the custom</w:t>
      </w:r>
      <w:r w:rsidR="005F0B41">
        <w:t>ary</w:t>
      </w:r>
      <w:r>
        <w:t xml:space="preserve"> legal fees for similar services.</w:t>
      </w:r>
    </w:p>
    <w:p w:rsidR="00C7186C" w:rsidRDefault="00C7186C" w14:paraId="414CFE4A" w14:textId="77777777">
      <w:pPr>
        <w:pStyle w:val="scemptyline"/>
      </w:pPr>
    </w:p>
    <w:p w:rsidRPr="00DF3B44" w:rsidR="007A10F1" w:rsidP="007A10F1" w:rsidRDefault="00E27805" w14:paraId="41C43BF8" w14:textId="77777777">
      <w:pPr>
        <w:pStyle w:val="scnoncodifiedsection"/>
      </w:pPr>
      <w:bookmarkStart w:name="bs_num_2_lastsection" w:id="14"/>
      <w:bookmarkStart w:name="eff_date_section" w:id="15"/>
      <w:r w:rsidRPr="00DF3B44">
        <w:lastRenderedPageBreak/>
        <w:t>S</w:t>
      </w:r>
      <w:bookmarkEnd w:id="14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15"/>
    </w:p>
    <w:p w:rsidRPr="00DF3B44" w:rsidR="005516F6" w:rsidP="009E4191" w:rsidRDefault="007A10F1" w14:paraId="203D5FD4" w14:textId="77777777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3F41E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61C5F" w14:textId="77777777" w:rsidR="003C60AA" w:rsidRDefault="003C60AA" w:rsidP="0010329A">
      <w:pPr>
        <w:spacing w:after="0" w:line="240" w:lineRule="auto"/>
      </w:pPr>
      <w:r>
        <w:separator/>
      </w:r>
    </w:p>
    <w:p w14:paraId="7B2B2790" w14:textId="77777777" w:rsidR="003C60AA" w:rsidRDefault="003C60AA"/>
  </w:endnote>
  <w:endnote w:type="continuationSeparator" w:id="0">
    <w:p w14:paraId="3E9937BD" w14:textId="77777777" w:rsidR="003C60AA" w:rsidRDefault="003C60AA" w:rsidP="0010329A">
      <w:pPr>
        <w:spacing w:after="0" w:line="240" w:lineRule="auto"/>
      </w:pPr>
      <w:r>
        <w:continuationSeparator/>
      </w:r>
    </w:p>
    <w:p w14:paraId="16FC26AE" w14:textId="77777777" w:rsidR="003C60AA" w:rsidRDefault="003C60AA"/>
  </w:endnote>
  <w:endnote w:type="continuationNotice" w:id="1">
    <w:p w14:paraId="46728394" w14:textId="77777777" w:rsidR="003C60AA" w:rsidRDefault="003C60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5BC26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592B44" w14:textId="77777777" w:rsidR="00685035" w:rsidRPr="007B4AF7" w:rsidRDefault="006E3BDB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3523B0">
              <w:rPr>
                <w:noProof/>
              </w:rPr>
              <w:t>SJ-0020MB26.docx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85C21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44EB7" w14:textId="77777777" w:rsidR="003C60AA" w:rsidRDefault="003C60AA" w:rsidP="0010329A">
      <w:pPr>
        <w:spacing w:after="0" w:line="240" w:lineRule="auto"/>
      </w:pPr>
      <w:r>
        <w:separator/>
      </w:r>
    </w:p>
    <w:p w14:paraId="4EEC8577" w14:textId="77777777" w:rsidR="003C60AA" w:rsidRDefault="003C60AA"/>
  </w:footnote>
  <w:footnote w:type="continuationSeparator" w:id="0">
    <w:p w14:paraId="564DAA9A" w14:textId="77777777" w:rsidR="003C60AA" w:rsidRDefault="003C60AA" w:rsidP="0010329A">
      <w:pPr>
        <w:spacing w:after="0" w:line="240" w:lineRule="auto"/>
      </w:pPr>
      <w:r>
        <w:continuationSeparator/>
      </w:r>
    </w:p>
    <w:p w14:paraId="7C96CB5B" w14:textId="77777777" w:rsidR="003C60AA" w:rsidRDefault="003C60AA"/>
  </w:footnote>
  <w:footnote w:type="continuationNotice" w:id="1">
    <w:p w14:paraId="011B2E9C" w14:textId="77777777" w:rsidR="003C60AA" w:rsidRDefault="003C60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BCD24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6A20D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91286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011F"/>
    <w:rsid w:val="00002E0E"/>
    <w:rsid w:val="0000663B"/>
    <w:rsid w:val="00006934"/>
    <w:rsid w:val="00011182"/>
    <w:rsid w:val="00012912"/>
    <w:rsid w:val="00014A90"/>
    <w:rsid w:val="00017FB0"/>
    <w:rsid w:val="00020B5D"/>
    <w:rsid w:val="00026421"/>
    <w:rsid w:val="000276F8"/>
    <w:rsid w:val="00030409"/>
    <w:rsid w:val="00037F04"/>
    <w:rsid w:val="000404BF"/>
    <w:rsid w:val="00044B84"/>
    <w:rsid w:val="000479D0"/>
    <w:rsid w:val="0005440E"/>
    <w:rsid w:val="0005785A"/>
    <w:rsid w:val="0006464F"/>
    <w:rsid w:val="00066B54"/>
    <w:rsid w:val="000702BD"/>
    <w:rsid w:val="00072FCD"/>
    <w:rsid w:val="00074A4F"/>
    <w:rsid w:val="00077B65"/>
    <w:rsid w:val="00077F52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5756"/>
    <w:rsid w:val="00111B6B"/>
    <w:rsid w:val="001164F9"/>
    <w:rsid w:val="0011719C"/>
    <w:rsid w:val="00140049"/>
    <w:rsid w:val="001527A2"/>
    <w:rsid w:val="00171601"/>
    <w:rsid w:val="001730EB"/>
    <w:rsid w:val="00173276"/>
    <w:rsid w:val="00176122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070A3"/>
    <w:rsid w:val="002114C8"/>
    <w:rsid w:val="0021166F"/>
    <w:rsid w:val="002162DF"/>
    <w:rsid w:val="00230038"/>
    <w:rsid w:val="00230366"/>
    <w:rsid w:val="00233975"/>
    <w:rsid w:val="00236D73"/>
    <w:rsid w:val="00245DE7"/>
    <w:rsid w:val="00246535"/>
    <w:rsid w:val="002533E3"/>
    <w:rsid w:val="00255324"/>
    <w:rsid w:val="00257F60"/>
    <w:rsid w:val="002625EA"/>
    <w:rsid w:val="00262AC5"/>
    <w:rsid w:val="00264AE9"/>
    <w:rsid w:val="00275AE6"/>
    <w:rsid w:val="002836D8"/>
    <w:rsid w:val="00286864"/>
    <w:rsid w:val="002A0855"/>
    <w:rsid w:val="002A29DD"/>
    <w:rsid w:val="002A7989"/>
    <w:rsid w:val="002B02F3"/>
    <w:rsid w:val="002B64C8"/>
    <w:rsid w:val="002C3463"/>
    <w:rsid w:val="002D266D"/>
    <w:rsid w:val="002D5B3D"/>
    <w:rsid w:val="002D7447"/>
    <w:rsid w:val="002E315A"/>
    <w:rsid w:val="002E4F8C"/>
    <w:rsid w:val="002F560C"/>
    <w:rsid w:val="002F5847"/>
    <w:rsid w:val="002F682B"/>
    <w:rsid w:val="00303EED"/>
    <w:rsid w:val="0030425A"/>
    <w:rsid w:val="00311A66"/>
    <w:rsid w:val="003421F1"/>
    <w:rsid w:val="0034279C"/>
    <w:rsid w:val="00344C1E"/>
    <w:rsid w:val="003523B0"/>
    <w:rsid w:val="00354F64"/>
    <w:rsid w:val="003559A1"/>
    <w:rsid w:val="00361563"/>
    <w:rsid w:val="00371D36"/>
    <w:rsid w:val="00372EFC"/>
    <w:rsid w:val="00373E17"/>
    <w:rsid w:val="003775E6"/>
    <w:rsid w:val="00381998"/>
    <w:rsid w:val="003A5F1C"/>
    <w:rsid w:val="003C3E2E"/>
    <w:rsid w:val="003C60AA"/>
    <w:rsid w:val="003D4A3C"/>
    <w:rsid w:val="003D55B2"/>
    <w:rsid w:val="003E0033"/>
    <w:rsid w:val="003E1124"/>
    <w:rsid w:val="003E5452"/>
    <w:rsid w:val="003E7165"/>
    <w:rsid w:val="003E7FF6"/>
    <w:rsid w:val="003F3CBB"/>
    <w:rsid w:val="003F41E9"/>
    <w:rsid w:val="004046B5"/>
    <w:rsid w:val="00406F27"/>
    <w:rsid w:val="00412693"/>
    <w:rsid w:val="004141B8"/>
    <w:rsid w:val="004203B9"/>
    <w:rsid w:val="004236A0"/>
    <w:rsid w:val="00432135"/>
    <w:rsid w:val="00444D5F"/>
    <w:rsid w:val="00446987"/>
    <w:rsid w:val="00446D28"/>
    <w:rsid w:val="00466CD0"/>
    <w:rsid w:val="004733A3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C6650"/>
    <w:rsid w:val="004D1442"/>
    <w:rsid w:val="004D3DCB"/>
    <w:rsid w:val="004D517F"/>
    <w:rsid w:val="004E1946"/>
    <w:rsid w:val="004E66E9"/>
    <w:rsid w:val="004E7DDE"/>
    <w:rsid w:val="004F0090"/>
    <w:rsid w:val="004F172C"/>
    <w:rsid w:val="005002ED"/>
    <w:rsid w:val="00500DBC"/>
    <w:rsid w:val="00504A22"/>
    <w:rsid w:val="005102BE"/>
    <w:rsid w:val="00523F7F"/>
    <w:rsid w:val="00524D54"/>
    <w:rsid w:val="00542FF0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2164"/>
    <w:rsid w:val="005D3013"/>
    <w:rsid w:val="005E1E50"/>
    <w:rsid w:val="005E2B9C"/>
    <w:rsid w:val="005E3332"/>
    <w:rsid w:val="005F0B41"/>
    <w:rsid w:val="005F76B0"/>
    <w:rsid w:val="006018D0"/>
    <w:rsid w:val="00604429"/>
    <w:rsid w:val="006067B0"/>
    <w:rsid w:val="00606A8B"/>
    <w:rsid w:val="00611EBA"/>
    <w:rsid w:val="00614027"/>
    <w:rsid w:val="006213A8"/>
    <w:rsid w:val="00623BEA"/>
    <w:rsid w:val="006347E9"/>
    <w:rsid w:val="00640C87"/>
    <w:rsid w:val="00644647"/>
    <w:rsid w:val="006454BB"/>
    <w:rsid w:val="006514C6"/>
    <w:rsid w:val="006531A1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6F6473"/>
    <w:rsid w:val="00711AA9"/>
    <w:rsid w:val="00722155"/>
    <w:rsid w:val="00730C87"/>
    <w:rsid w:val="00735523"/>
    <w:rsid w:val="00737F19"/>
    <w:rsid w:val="00782BF8"/>
    <w:rsid w:val="00783C75"/>
    <w:rsid w:val="007849D9"/>
    <w:rsid w:val="00787433"/>
    <w:rsid w:val="007A10F1"/>
    <w:rsid w:val="007A3D50"/>
    <w:rsid w:val="007A67AA"/>
    <w:rsid w:val="007B2D29"/>
    <w:rsid w:val="007B412F"/>
    <w:rsid w:val="007B4AF7"/>
    <w:rsid w:val="007B4DBF"/>
    <w:rsid w:val="007C5458"/>
    <w:rsid w:val="007D1BFE"/>
    <w:rsid w:val="007D2C67"/>
    <w:rsid w:val="007E06BB"/>
    <w:rsid w:val="007E4D51"/>
    <w:rsid w:val="007F495A"/>
    <w:rsid w:val="007F50D1"/>
    <w:rsid w:val="00813968"/>
    <w:rsid w:val="00816D4E"/>
    <w:rsid w:val="00816D52"/>
    <w:rsid w:val="008308F4"/>
    <w:rsid w:val="00831048"/>
    <w:rsid w:val="00834272"/>
    <w:rsid w:val="008625C1"/>
    <w:rsid w:val="0087671D"/>
    <w:rsid w:val="008806F9"/>
    <w:rsid w:val="00887957"/>
    <w:rsid w:val="00896C63"/>
    <w:rsid w:val="008A57E3"/>
    <w:rsid w:val="008B5BF4"/>
    <w:rsid w:val="008C0CEE"/>
    <w:rsid w:val="008C1B18"/>
    <w:rsid w:val="008D46EC"/>
    <w:rsid w:val="008E0E25"/>
    <w:rsid w:val="008E61A1"/>
    <w:rsid w:val="009031EF"/>
    <w:rsid w:val="00911652"/>
    <w:rsid w:val="00917EA3"/>
    <w:rsid w:val="00917EE0"/>
    <w:rsid w:val="00921C89"/>
    <w:rsid w:val="00926966"/>
    <w:rsid w:val="00926D03"/>
    <w:rsid w:val="00934036"/>
    <w:rsid w:val="00934889"/>
    <w:rsid w:val="00940545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783"/>
    <w:rsid w:val="009B6815"/>
    <w:rsid w:val="009C4671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544C8"/>
    <w:rsid w:val="00A5640D"/>
    <w:rsid w:val="00A60D68"/>
    <w:rsid w:val="00A67F03"/>
    <w:rsid w:val="00A73EFA"/>
    <w:rsid w:val="00A76DF1"/>
    <w:rsid w:val="00A77A3B"/>
    <w:rsid w:val="00A77F5E"/>
    <w:rsid w:val="00A92F6F"/>
    <w:rsid w:val="00A97523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AF51D5"/>
    <w:rsid w:val="00B067A8"/>
    <w:rsid w:val="00B06EDA"/>
    <w:rsid w:val="00B1056E"/>
    <w:rsid w:val="00B1161F"/>
    <w:rsid w:val="00B11661"/>
    <w:rsid w:val="00B121EF"/>
    <w:rsid w:val="00B20E71"/>
    <w:rsid w:val="00B210D4"/>
    <w:rsid w:val="00B32B4D"/>
    <w:rsid w:val="00B4137E"/>
    <w:rsid w:val="00B54DF7"/>
    <w:rsid w:val="00B55C2B"/>
    <w:rsid w:val="00B56206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31D"/>
    <w:rsid w:val="00B929EC"/>
    <w:rsid w:val="00BA2F4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BF510E"/>
    <w:rsid w:val="00C0401A"/>
    <w:rsid w:val="00C15F1B"/>
    <w:rsid w:val="00C16288"/>
    <w:rsid w:val="00C17D1D"/>
    <w:rsid w:val="00C20031"/>
    <w:rsid w:val="00C221B3"/>
    <w:rsid w:val="00C362FB"/>
    <w:rsid w:val="00C45923"/>
    <w:rsid w:val="00C543E7"/>
    <w:rsid w:val="00C70225"/>
    <w:rsid w:val="00C7186C"/>
    <w:rsid w:val="00C72198"/>
    <w:rsid w:val="00C73C7D"/>
    <w:rsid w:val="00C748E9"/>
    <w:rsid w:val="00C75005"/>
    <w:rsid w:val="00C970DF"/>
    <w:rsid w:val="00CA6893"/>
    <w:rsid w:val="00CA7E71"/>
    <w:rsid w:val="00CB2673"/>
    <w:rsid w:val="00CB701D"/>
    <w:rsid w:val="00CC3F0E"/>
    <w:rsid w:val="00CC4C5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0313"/>
    <w:rsid w:val="00D33843"/>
    <w:rsid w:val="00D43261"/>
    <w:rsid w:val="00D54A6F"/>
    <w:rsid w:val="00D57D57"/>
    <w:rsid w:val="00D62E42"/>
    <w:rsid w:val="00D772FB"/>
    <w:rsid w:val="00D96107"/>
    <w:rsid w:val="00DA1AA0"/>
    <w:rsid w:val="00DA512B"/>
    <w:rsid w:val="00DB5F64"/>
    <w:rsid w:val="00DC44A8"/>
    <w:rsid w:val="00DE4BEE"/>
    <w:rsid w:val="00DE5B3D"/>
    <w:rsid w:val="00DE7112"/>
    <w:rsid w:val="00DF19BE"/>
    <w:rsid w:val="00DF3B44"/>
    <w:rsid w:val="00DF78A8"/>
    <w:rsid w:val="00E0083C"/>
    <w:rsid w:val="00E1372E"/>
    <w:rsid w:val="00E16C0B"/>
    <w:rsid w:val="00E21C1F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1F96"/>
    <w:rsid w:val="00E43F26"/>
    <w:rsid w:val="00E47E15"/>
    <w:rsid w:val="00E52A36"/>
    <w:rsid w:val="00E6378B"/>
    <w:rsid w:val="00E63EC3"/>
    <w:rsid w:val="00E653DA"/>
    <w:rsid w:val="00E65958"/>
    <w:rsid w:val="00E702C9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C0AA3"/>
    <w:rsid w:val="00EC1A92"/>
    <w:rsid w:val="00ED452E"/>
    <w:rsid w:val="00EE3CDA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75E02"/>
    <w:rsid w:val="00F900B4"/>
    <w:rsid w:val="00F95B0B"/>
    <w:rsid w:val="00FA0225"/>
    <w:rsid w:val="00FA0F2E"/>
    <w:rsid w:val="00FA4DB1"/>
    <w:rsid w:val="00FB3F2A"/>
    <w:rsid w:val="00FC3593"/>
    <w:rsid w:val="00FD117D"/>
    <w:rsid w:val="00FD72E3"/>
    <w:rsid w:val="00FE06FC"/>
    <w:rsid w:val="00FE0B17"/>
    <w:rsid w:val="00FE3AD9"/>
    <w:rsid w:val="00FF0315"/>
    <w:rsid w:val="00FF1A96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32A3EE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02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614027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614027"/>
    <w:pPr>
      <w:spacing w:after="0" w:line="240" w:lineRule="auto"/>
    </w:pPr>
  </w:style>
  <w:style w:type="paragraph" w:customStyle="1" w:styleId="scemptylineheader">
    <w:name w:val="sc_emptyline_header"/>
    <w:qFormat/>
    <w:rsid w:val="00614027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14027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61402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614027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61402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61402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614027"/>
    <w:rPr>
      <w:color w:val="808080"/>
    </w:rPr>
  </w:style>
  <w:style w:type="paragraph" w:customStyle="1" w:styleId="scdirectionallanguage">
    <w:name w:val="sc_directional_language"/>
    <w:qFormat/>
    <w:rsid w:val="0061402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61402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614027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61402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614027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614027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1402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614027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614027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61402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61402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61402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1402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1402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614027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614027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614027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614027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61402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614027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614027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140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402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140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4027"/>
    <w:rPr>
      <w:lang w:val="en-US"/>
    </w:rPr>
  </w:style>
  <w:style w:type="paragraph" w:styleId="ListParagraph">
    <w:name w:val="List Paragraph"/>
    <w:basedOn w:val="Normal"/>
    <w:uiPriority w:val="34"/>
    <w:qFormat/>
    <w:rsid w:val="00614027"/>
    <w:pPr>
      <w:ind w:left="720"/>
      <w:contextualSpacing/>
    </w:pPr>
  </w:style>
  <w:style w:type="paragraph" w:customStyle="1" w:styleId="scbillfooter">
    <w:name w:val="sc_bill_footer"/>
    <w:qFormat/>
    <w:rsid w:val="00614027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614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614027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614027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61402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61402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61402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61402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61402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614027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61402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614027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61402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614027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61402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614027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614027"/>
    <w:rPr>
      <w:strike/>
      <w:dstrike w:val="0"/>
    </w:rPr>
  </w:style>
  <w:style w:type="character" w:customStyle="1" w:styleId="scinsert">
    <w:name w:val="sc_insert"/>
    <w:uiPriority w:val="1"/>
    <w:qFormat/>
    <w:rsid w:val="00614027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614027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614027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614027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614027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614027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614027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614027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614027"/>
    <w:rPr>
      <w:strike/>
      <w:dstrike w:val="0"/>
      <w:color w:val="FF0000"/>
    </w:rPr>
  </w:style>
  <w:style w:type="paragraph" w:customStyle="1" w:styleId="scbillsiglines">
    <w:name w:val="sc_bill_sig_lines"/>
    <w:qFormat/>
    <w:rsid w:val="00614027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14027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614027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614027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614027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614027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614027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614027"/>
    <w:rPr>
      <w:bdr w:val="none" w:sz="0" w:space="0" w:color="auto"/>
      <w:shd w:val="clear" w:color="auto" w:fill="E2EFD9" w:themeFill="accent6" w:themeFillTint="33"/>
    </w:rPr>
  </w:style>
  <w:style w:type="paragraph" w:customStyle="1" w:styleId="sccoversheetitalics">
    <w:name w:val="sc_coversheet_italics"/>
    <w:qFormat/>
    <w:rsid w:val="00FF1A96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FF1A96"/>
    <w:pPr>
      <w:spacing w:after="0" w:line="240" w:lineRule="auto"/>
    </w:pPr>
    <w:rPr>
      <w:rFonts w:ascii="Times New Roman" w:hAnsi="Times New Roman"/>
      <w:b/>
      <w:lang w:val="en-US"/>
    </w:rPr>
  </w:style>
  <w:style w:type="paragraph" w:styleId="Revision">
    <w:name w:val="Revision"/>
    <w:hidden/>
    <w:uiPriority w:val="99"/>
    <w:semiHidden/>
    <w:rsid w:val="00D43261"/>
    <w:pPr>
      <w:spacing w:after="0" w:line="240" w:lineRule="auto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001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01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011F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01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011F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892&amp;session=126&amp;summary=B" TargetMode="External" Id="Rf802d91fd0ab4a08" /><Relationship Type="http://schemas.openxmlformats.org/officeDocument/2006/relationships/hyperlink" Target="https://www.scstatehouse.gov/sess126_2025-2026/prever/892_20260204.docx" TargetMode="External" Id="R0e999005345241d1" /><Relationship Type="http://schemas.openxmlformats.org/officeDocument/2006/relationships/hyperlink" Target="h:\sj\20260204.docx" TargetMode="External" Id="R8633c49125404f7c" /><Relationship Type="http://schemas.openxmlformats.org/officeDocument/2006/relationships/hyperlink" Target="h:\sj\20260204.docx" TargetMode="External" Id="Rd24df7a37eae4577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14A90"/>
    <w:rsid w:val="00025E23"/>
    <w:rsid w:val="000C5BC7"/>
    <w:rsid w:val="000F401F"/>
    <w:rsid w:val="00140B15"/>
    <w:rsid w:val="001B20DA"/>
    <w:rsid w:val="001C48FD"/>
    <w:rsid w:val="002A7C8A"/>
    <w:rsid w:val="002D4365"/>
    <w:rsid w:val="003E4FBC"/>
    <w:rsid w:val="003F4940"/>
    <w:rsid w:val="004E2BB5"/>
    <w:rsid w:val="00580C56"/>
    <w:rsid w:val="006514C6"/>
    <w:rsid w:val="006531A1"/>
    <w:rsid w:val="006B363F"/>
    <w:rsid w:val="007070D2"/>
    <w:rsid w:val="00730C87"/>
    <w:rsid w:val="00776F2C"/>
    <w:rsid w:val="008F7723"/>
    <w:rsid w:val="009031EF"/>
    <w:rsid w:val="00912A5F"/>
    <w:rsid w:val="00940EED"/>
    <w:rsid w:val="00985255"/>
    <w:rsid w:val="009C3651"/>
    <w:rsid w:val="00A51DBA"/>
    <w:rsid w:val="00A77F5E"/>
    <w:rsid w:val="00B20DA6"/>
    <w:rsid w:val="00B457AF"/>
    <w:rsid w:val="00B9231D"/>
    <w:rsid w:val="00BF56C3"/>
    <w:rsid w:val="00C362FB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DOCUMENT_TYPE>Bill</DOCUMENT_TYPE>
  <FILENAME>&lt;&lt;filename&gt;&gt;</FILENAME>
  <ID>dc198d6c-a04f-4442-9d2d-0c973f858cb9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2026-02-04T00:00:00-05:00</T_BILL_DT_VERSION>
  <T_BILL_D_INTRODATE>2026-02-04</T_BILL_D_INTRODATE>
  <T_BILL_D_SENATEINTRODATE>2026-02-04</T_BILL_D_SENATEINTRODATE>
  <T_BILL_N_INTERNALVERSIONNUMBER>1</T_BILL_N_INTERNALVERSIONNUMBER>
  <T_BILL_N_SESSION>126</T_BILL_N_SESSION>
  <T_BILL_N_VERSIONNUMBER>1</T_BILL_N_VERSIONNUMBER>
  <T_BILL_N_YEAR>2026</T_BILL_N_YEAR>
  <T_BILL_REQUEST_REQUEST>c1869047-eb82-4bf0-bbec-0fb913201b3b</T_BILL_REQUEST_REQUEST>
  <T_BILL_R_ORIGINALDRAFT>14ecfc41-6edc-4cc2-8e97-b1480e03d98a</T_BILL_R_ORIGINALDRAFT>
  <T_BILL_SPONSOR_SPONSOR>1be17325-8d49-4376-8649-ac0543eaa52a</T_BILL_SPONSOR_SPONSOR>
  <T_BILL_T_BILLNAME>[0892]</T_BILL_T_BILLNAME>
  <T_BILL_T_BILLNUMBER>892</T_BILL_T_BILLNUMBER>
  <T_BILL_T_BILLTITLE>TO AMEND THE SOUTH CAROLINA CODE OF LAWS BY ADDING SECTION 6‑29‑1230 SO AS TO PERMIT THE COURT TO AWARD ATTORNEY’S FEES AND COSTS INCURRED BY AN APPLICANT AND/OR PROPERTY OWNER TO DEFEND AN APPELLATE PROCEEDING WHERE THE COURT DISMISSES THE APPEAL OR THE DECISION IS NOT REVERSED; SO AS TO ESTABLISH AN APPLICANT AND/OR PROPERTY OWNER IS NOT ENTITLED TO RECOVER IN AN APPEAL WHERE THE DECISION WAS GRANTED FOR A SPECIAL EXCEPTION; SO AS TO PROVIDE THAT THE AMOUNT AWARDED SHALL NOT EXCEED REASONABLE ATTORNEY’S FEES THAT THE APPLICANT AND/OR THE PROPERTY OWNER INCUR; AND SO AS TO INCLUDE THE FACTORS TO CONSIDER IN DETERMINING A REASONABLE RATE FOR ATTORNEY’S FEES.</T_BILL_T_BILLTITLE>
  <T_BILL_T_CHAMBER>senate</T_BILL_T_CHAMBER>
  <T_BILL_T_FILENAME> </T_BILL_T_FILENAME>
  <T_BILL_T_LEGTYPE>bill_statewide</T_BILL_T_LEGTYPE>
  <T_BILL_T_RATNUMBERSTRING>SNone</T_BILL_T_RATNUMBERSTRING>
  <T_BILL_T_SECTIONS>[{"SectionUUID":"832cc0b6-2e42-4d1f-8dcb-82e3e21d4976","SectionName":"code_section","SectionNumber":1,"SectionType":"code_section","CodeSections":[{"CodeSectionBookmarkName":"ns_T6C29N1230_71d54b89c","IsConstitutionSection":false,"Identity":"6-29-1230","IsNew":true,"SubSections":[{"Level":1,"Identity":"T6C29N1230SA","SubSectionBookmarkName":"ss_T6C29N1230SA_lv1_95a303ab7","IsNewSubSection":false,"SubSectionReplacement":""},{"Level":1,"Identity":"T6C29N1230SB","SubSectionBookmarkName":"ss_T6C29N1230SB_lv1_601e6475d","IsNewSubSection":false,"SubSectionReplacement":""},{"Level":1,"Identity":"T6C29N1230SC","SubSectionBookmarkName":"ss_T6C29N1230SC_lv1_5461d98fd","IsNewSubSection":false,"SubSectionReplacement":""},{"Level":2,"Identity":"T6C29N1230S1","SubSectionBookmarkName":"ss_T6C29N1230S1_lv2_4f86fdc32","IsNewSubSection":false,"SubSectionReplacement":""},{"Level":2,"Identity":"T6C29N1230S2","SubSectionBookmarkName":"ss_T6C29N1230S2_lv2_d8e1c5ce9","IsNewSubSection":false,"SubSectionReplacement":""},{"Level":2,"Identity":"T6C29N1230S3","SubSectionBookmarkName":"ss_T6C29N1230S3_lv2_eb7ec4f5b","IsNewSubSection":false,"SubSectionReplacement":""},{"Level":2,"Identity":"T6C29N1230S4","SubSectionBookmarkName":"ss_T6C29N1230S4_lv2_e6b6da3bf","IsNewSubSection":false,"SubSectionReplacement":""},{"Level":2,"Identity":"T6C29N1230S5","SubSectionBookmarkName":"ss_T6C29N1230S5_lv2_c04037475","IsNewSubSection":false,"SubSectionReplacement":""}],"TitleRelatedTo":"","TitleSoAsTo":"permit the court to award attorney's fees and costs incurred by an applicant and/or property owner to defend an appellate proceeding where the court dismisses the appeal or the decision is not reversed; so as to establish an applicant and/or property owner is not entitled to recover in an appeal where the decision was granted for a special exception; so as to provide that the amount awarded shall not exceed the reasonable attorney's fees that the applicant and/or the property owner; and so as to include the factors to consider in determining a reasonable rate for attorney's fees","Deleted":false,"IsStricken":false}],"TitleText":"","DisableControls":false,"Deleted":false,"RepealItems":[],"SectionBookmarkName":"bs_num_1_aea0c41be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Civil Appeal Bonds</T_BILL_T_SUBJECT>
  <T_BILL_UR_DRAFTER>maurabaker@scsenate.gov</T_BILL_UR_DRAFTER>
  <T_BILL_UR_DRAFTINGASSISTANT>maxinehenry@scsenate.gov</T_BILL_UR_DRAFTINGASSISTANT>
</lwb360Metadat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Props1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3EFC056C-30F6-47C0-A8E8-745EE5C47C6B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1787</Characters>
  <Application>Microsoft Office Word</Application>
  <DocSecurity>0</DocSecurity>
  <Lines>44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Maxine Henry</cp:lastModifiedBy>
  <cp:revision>4</cp:revision>
  <cp:lastPrinted>2026-02-03T21:54:00Z</cp:lastPrinted>
  <dcterms:created xsi:type="dcterms:W3CDTF">2026-02-04T17:44:00Z</dcterms:created>
  <dcterms:modified xsi:type="dcterms:W3CDTF">2026-02-04T17:44:00Z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