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Davis, Blackmon, Turner, Climer, Zell, Verdin, Gambrell, Cromer, Bennett, Grooms, Williams and Ott</w:t>
      </w:r>
    </w:p>
    <w:p>
      <w:pPr>
        <w:widowControl w:val="false"/>
        <w:spacing w:after="0"/>
        <w:jc w:val="left"/>
      </w:pPr>
      <w:r>
        <w:rPr>
          <w:rFonts w:ascii="Times New Roman"/>
          <w:sz w:val="22"/>
        </w:rPr>
        <w:t xml:space="preserve">Document Path: SR-0518KM26.docx</w:t>
      </w:r>
    </w:p>
    <w:p>
      <w:pPr>
        <w:widowControl w:val="false"/>
        <w:spacing w:after="0"/>
        <w:jc w:val="left"/>
      </w:pPr>
    </w:p>
    <w:p>
      <w:pPr>
        <w:widowControl w:val="false"/>
        <w:spacing w:after="0"/>
        <w:jc w:val="left"/>
      </w:pPr>
      <w:r>
        <w:rPr>
          <w:rFonts w:ascii="Times New Roman"/>
          <w:sz w:val="22"/>
        </w:rPr>
        <w:t xml:space="preserve">Introduced in the Senate on February 17,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Calculating Medical Expenses for Damage Awards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Senate</w:t>
      </w:r>
      <w:r>
        <w:tab/>
        <w:t xml:space="preserve">Introduced and read first time</w:t>
      </w:r>
      <w:r>
        <w:t xml:space="preserve"> (</w:t>
      </w:r>
      <w:hyperlink w:history="true" r:id="Rd5df057d0e90450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2/17/2026</w:t>
      </w:r>
      <w:r>
        <w:tab/>
        <w:t>Senate</w:t>
      </w:r>
      <w:r>
        <w:tab/>
        <w:t xml:space="preserve">Referred to Committee on</w:t>
      </w:r>
      <w:r>
        <w:rPr>
          <w:b/>
        </w:rPr>
        <w:t xml:space="preserve"> Judiciary</w:t>
      </w:r>
      <w:r>
        <w:t xml:space="preserve"> (</w:t>
      </w:r>
      <w:hyperlink w:history="true" r:id="R6ebda99398f846b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2/18/2026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3eb01033fb14c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9460aa6ae4959">
        <w:r>
          <w:rPr>
            <w:rStyle w:val="Hyperlink"/>
            <w:u w:val="single"/>
          </w:rPr>
          <w:t>02/17/2026</w:t>
        </w:r>
      </w:hyperlink>
      <w:r>
        <w:t xml:space="preserve"/>
      </w:r>
    </w:p>
    <w:p>
      <w:pPr>
        <w:widowControl w:val="true"/>
        <w:spacing w:after="0"/>
        <w:jc w:val="left"/>
      </w:pPr>
      <w:r>
        <w:rPr>
          <w:rFonts w:ascii="Times New Roman"/>
          <w:sz w:val="22"/>
        </w:rPr>
        <w:t xml:space="preserve"/>
      </w:r>
      <w:hyperlink r:id="R367288bf07c94c00">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00B2205" w14:textId="77777777">
      <w:pPr>
        <w:pStyle w:val="scemptylineheader"/>
      </w:pPr>
    </w:p>
    <w:p w:rsidRPr="00BB0725" w:rsidR="00A73EFA" w:rsidP="00BB0725" w:rsidRDefault="00A73EFA" w14:paraId="4624BD08" w14:textId="77777777">
      <w:pPr>
        <w:pStyle w:val="scemptylineheader"/>
      </w:pPr>
    </w:p>
    <w:p w:rsidRPr="00BB0725" w:rsidR="00A73EFA" w:rsidP="00BB0725" w:rsidRDefault="00A73EFA" w14:paraId="0A74C3FD" w14:textId="77777777">
      <w:pPr>
        <w:pStyle w:val="scemptylineheader"/>
      </w:pPr>
    </w:p>
    <w:p w:rsidRPr="00DF3B44" w:rsidR="00A73EFA" w:rsidP="00B7592C" w:rsidRDefault="00A73EFA" w14:paraId="3C8F6720" w14:textId="77777777">
      <w:pPr>
        <w:pStyle w:val="scemptylineheader"/>
      </w:pPr>
    </w:p>
    <w:p w:rsidRPr="00DF3B44" w:rsidR="00A73EFA" w:rsidP="00B7592C" w:rsidRDefault="00A73EFA" w14:paraId="64740287" w14:textId="77777777">
      <w:pPr>
        <w:pStyle w:val="scemptylineheader"/>
      </w:pPr>
    </w:p>
    <w:p w:rsidRPr="00DF3B44" w:rsidR="00A73EFA" w:rsidP="00B7592C" w:rsidRDefault="00A73EFA" w14:paraId="5191CEF5" w14:textId="77777777">
      <w:pPr>
        <w:pStyle w:val="scemptylineheader"/>
      </w:pPr>
    </w:p>
    <w:p w:rsidRPr="00DF3B44" w:rsidR="002C3463" w:rsidP="00037F04" w:rsidRDefault="002C3463" w14:paraId="61BD65A4" w14:textId="77777777">
      <w:pPr>
        <w:pStyle w:val="scemptylineheader"/>
      </w:pPr>
    </w:p>
    <w:p w:rsidRPr="00DF3B44" w:rsidR="008E61A1" w:rsidP="00446987" w:rsidRDefault="008E61A1" w14:paraId="39F14036" w14:textId="77777777">
      <w:pPr>
        <w:pStyle w:val="scemptylineheader"/>
      </w:pPr>
    </w:p>
    <w:p w:rsidRPr="00DF3B44" w:rsidR="002C3463" w:rsidP="00EB120E" w:rsidRDefault="002C3463" w14:paraId="77392637" w14:textId="77777777">
      <w:pPr>
        <w:pStyle w:val="scbillheader"/>
      </w:pPr>
      <w:r w:rsidRPr="00DF3B44">
        <w:t>A bill</w:t>
      </w:r>
    </w:p>
    <w:p w:rsidRPr="00DF3B44" w:rsidR="002C3463" w:rsidP="001164F9" w:rsidRDefault="002C3463" w14:paraId="667BFA9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20C84" w14:paraId="3D48B723" w14:textId="786DA6D7">
          <w:pPr>
            <w:pStyle w:val="scbilltitle"/>
          </w:pPr>
          <w:r>
            <w:t>TO AMEND THE SOUTH CAROLINA CODE OF LAWS BY ADDING SECTION 15‑32‑710 SO AS TO DEFINE TERMS RELATED TO CALCULATING MEDICAL EXPENSES FOR DAMAGE AWARDS; BY ADDING SECTION 15‑32‑720 SO AS TO PROVIDE THAT THE PLAINTIFF HAS THE BURDEN TO PROVE AMOUNT OF HIS DAMAGES ARISING FROM HEALTHCARE TREATMENT OR SERVICES; TO PROVIDE FOR THE EVIDENCE ALLOWED TO PROVE THE AMOUNT OF DAMAGES; TO PROVIDE FOR CERTAIN REQUIRED DISCLOSURES BY THE PLAINTIFF, AND TO PROVIDE THAT IT IS THE INTENT OF THE GENERAL ASSEMBLY THAT THIS SECTION ABROGATES THE COMMON LAW COLLATERAL SOURCE RULE TO THE EXTENT NECESSARY TO INTRODUCE THE EVIDENCE DESCRIBED IN THIS ACT.</w:t>
          </w:r>
        </w:p>
      </w:sdtContent>
    </w:sdt>
    <w:bookmarkStart w:name="at_4c43ad0ff" w:displacedByCustomXml="prev" w:id="0"/>
    <w:bookmarkEnd w:id="0"/>
    <w:p w:rsidRPr="00DF3B44" w:rsidR="006C18F0" w:rsidP="006C18F0" w:rsidRDefault="006C18F0" w14:paraId="29A69C79" w14:textId="77777777">
      <w:pPr>
        <w:pStyle w:val="scbillwhereasclause"/>
      </w:pPr>
    </w:p>
    <w:p w:rsidRPr="0094541D" w:rsidR="007E06BB" w:rsidP="0094541D" w:rsidRDefault="002C3463" w14:paraId="77CD90DD" w14:textId="77777777">
      <w:pPr>
        <w:pStyle w:val="scenactingwords"/>
      </w:pPr>
      <w:bookmarkStart w:name="ew_ff16b78b2" w:id="1"/>
      <w:r w:rsidRPr="0094541D">
        <w:t>B</w:t>
      </w:r>
      <w:bookmarkEnd w:id="1"/>
      <w:r w:rsidRPr="0094541D">
        <w:t>e it enacted by the General Assembly of the State of South Carolina:</w:t>
      </w:r>
    </w:p>
    <w:p w:rsidRPr="00DF3B44" w:rsidR="007E06BB" w:rsidP="00787433" w:rsidRDefault="007E06BB" w14:paraId="243B765B" w14:textId="77777777">
      <w:pPr>
        <w:pStyle w:val="scemptyline"/>
      </w:pPr>
    </w:p>
    <w:p w:rsidR="008C3EC3" w:rsidRDefault="008C3EC3" w14:paraId="18385581" w14:textId="77777777">
      <w:pPr>
        <w:pStyle w:val="scdirectionallanguage"/>
      </w:pPr>
      <w:bookmarkStart w:name="bs_num_1_9311b37c3" w:id="2"/>
      <w:r>
        <w:t>S</w:t>
      </w:r>
      <w:bookmarkEnd w:id="2"/>
      <w:r>
        <w:t>ECTION 1.</w:t>
      </w:r>
      <w:r>
        <w:tab/>
      </w:r>
      <w:bookmarkStart w:name="dl_ddd38fc61" w:id="3"/>
      <w:r>
        <w:t>C</w:t>
      </w:r>
      <w:bookmarkEnd w:id="3"/>
      <w:r>
        <w:t>hapter 32, Title 15 of the S.C. Code is amended by adding:</w:t>
      </w:r>
    </w:p>
    <w:p w:rsidR="008C3EC3" w:rsidRDefault="008C3EC3" w14:paraId="4435048A" w14:textId="77777777">
      <w:pPr>
        <w:pStyle w:val="scnewcodesection"/>
      </w:pPr>
    </w:p>
    <w:p w:rsidR="008C3EC3" w:rsidRDefault="008C3EC3" w14:paraId="40FBF155" w14:textId="77777777">
      <w:pPr>
        <w:pStyle w:val="scnewcodesection"/>
        <w:jc w:val="center"/>
      </w:pPr>
      <w:bookmarkStart w:name="up_dbf11791a" w:id="4"/>
      <w:r>
        <w:t>A</w:t>
      </w:r>
      <w:bookmarkEnd w:id="4"/>
      <w:r>
        <w:t>rticle 7</w:t>
      </w:r>
    </w:p>
    <w:p w:rsidR="008C3EC3" w:rsidRDefault="008C3EC3" w14:paraId="1C66237F" w14:textId="77777777">
      <w:pPr>
        <w:pStyle w:val="scnewcodesection"/>
      </w:pPr>
    </w:p>
    <w:p w:rsidR="008C3EC3" w:rsidRDefault="00E84126" w14:paraId="156C7BE8" w14:textId="6EA4521F">
      <w:pPr>
        <w:pStyle w:val="scnewcodesection"/>
        <w:jc w:val="center"/>
      </w:pPr>
      <w:bookmarkStart w:name="up_f68c13647" w:id="5"/>
      <w:r>
        <w:t>C</w:t>
      </w:r>
      <w:bookmarkEnd w:id="5"/>
      <w:r>
        <w:t>alculating Medical Expenses for Damage Awards</w:t>
      </w:r>
    </w:p>
    <w:p w:rsidR="008C3EC3" w:rsidRDefault="008C3EC3" w14:paraId="7DDA32AB" w14:textId="77777777">
      <w:pPr>
        <w:pStyle w:val="scnewcodesection"/>
      </w:pPr>
    </w:p>
    <w:p w:rsidR="008C3EC3" w:rsidRDefault="008C3EC3" w14:paraId="36D6BD96" w14:textId="0BDA60B2">
      <w:pPr>
        <w:pStyle w:val="scnewcodesection"/>
      </w:pPr>
      <w:r>
        <w:tab/>
      </w:r>
      <w:bookmarkStart w:name="ns_T15C32N710_c1b1227c5" w:id="6"/>
      <w:r>
        <w:t>S</w:t>
      </w:r>
      <w:bookmarkEnd w:id="6"/>
      <w:r>
        <w:t>ection 15‑32‑710.</w:t>
      </w:r>
      <w:r>
        <w:tab/>
      </w:r>
      <w:bookmarkStart w:name="up_e370f9585" w:id="7"/>
      <w:r w:rsidR="00664242">
        <w:t>F</w:t>
      </w:r>
      <w:bookmarkEnd w:id="7"/>
      <w:r w:rsidR="00664242">
        <w:t>or the purposes of this article:</w:t>
      </w:r>
    </w:p>
    <w:p w:rsidR="00664242" w:rsidRDefault="00664242" w14:paraId="331546C2" w14:textId="175BFD1F">
      <w:pPr>
        <w:pStyle w:val="scnewcodesection"/>
      </w:pPr>
      <w:r>
        <w:tab/>
      </w:r>
      <w:bookmarkStart w:name="ss_T15C32N710S1_lv1_a4ee44cdd" w:id="8"/>
      <w:r>
        <w:t>(</w:t>
      </w:r>
      <w:bookmarkEnd w:id="8"/>
      <w:r w:rsidR="00EA3429">
        <w:t>1</w:t>
      </w:r>
      <w:r>
        <w:t xml:space="preserve">) “Health insurance” means any </w:t>
      </w:r>
      <w:r w:rsidR="0077606C">
        <w:t>third‑party</w:t>
      </w:r>
      <w:r>
        <w:t xml:space="preserve"> health or disability insurance, including but not limited to, arrangements with entities certified or authorized under federal law or under </w:t>
      </w:r>
      <w:r w:rsidR="0077606C">
        <w:t>Chapter 38, state or federal health care benefit programs, workers compensation, and personal injury protection policies.</w:t>
      </w:r>
    </w:p>
    <w:p w:rsidR="00EA3429" w:rsidRDefault="0077606C" w14:paraId="0E84B253" w14:textId="77777777">
      <w:pPr>
        <w:pStyle w:val="scnewcodesection"/>
      </w:pPr>
      <w:r>
        <w:tab/>
      </w:r>
      <w:bookmarkStart w:name="ss_T15C32N710S2_lv1_db0d21b54" w:id="9"/>
      <w:r>
        <w:t>(</w:t>
      </w:r>
      <w:bookmarkEnd w:id="9"/>
      <w:r w:rsidR="00EA3429">
        <w:t>2</w:t>
      </w:r>
      <w:r>
        <w:t>) “Health</w:t>
      </w:r>
      <w:r w:rsidR="0050776E">
        <w:t xml:space="preserve"> </w:t>
      </w:r>
      <w:r>
        <w:t>care provider” means</w:t>
      </w:r>
      <w:r w:rsidRPr="0077606C">
        <w:t xml:space="preserve"> a physician, surgeon, osteopath, nurse, oral surgeon, dentist, pharmacist, chiropractor, optometrist, podiatrist, or similar category of licensed health care provider, including a health care practice, association, partnership, or other legal entity</w:t>
      </w:r>
      <w:r>
        <w:t>.</w:t>
      </w:r>
    </w:p>
    <w:p w:rsidR="0077606C" w:rsidRDefault="0077606C" w14:paraId="6D56289D" w14:textId="50C0C64F">
      <w:pPr>
        <w:pStyle w:val="scnewcodesection"/>
      </w:pPr>
      <w:r>
        <w:tab/>
      </w:r>
      <w:bookmarkStart w:name="ss_T15C32N710S3_lv1_8ee5b0ed5" w:id="10"/>
      <w:r>
        <w:t>(</w:t>
      </w:r>
      <w:bookmarkEnd w:id="10"/>
      <w:r w:rsidR="00EA3429">
        <w:t>3</w:t>
      </w:r>
      <w:r>
        <w:t xml:space="preserve">) “Letter of protection” </w:t>
      </w:r>
      <w:r w:rsidR="0050776E">
        <w:t xml:space="preserve">means </w:t>
      </w:r>
      <w:r w:rsidRPr="0077606C">
        <w:t xml:space="preserve">any arrangement by which a health care provider renders treatment </w:t>
      </w:r>
      <w:r w:rsidR="0050776E">
        <w:t xml:space="preserve">or services </w:t>
      </w:r>
      <w:r w:rsidRPr="0077606C">
        <w:t>in exchange for a promise of payment for the claimant’s medical expenses from any judgment or settlement of a</w:t>
      </w:r>
      <w:r w:rsidR="0050776E">
        <w:t xml:space="preserve"> civil action. T</w:t>
      </w:r>
      <w:r w:rsidRPr="0077606C">
        <w:t>he term includes any such arrangement, regardless of whether referred to as a letter of protection.</w:t>
      </w:r>
    </w:p>
    <w:p w:rsidR="008C3EC3" w:rsidRDefault="008C3EC3" w14:paraId="6733F9E2" w14:textId="77777777">
      <w:pPr>
        <w:pStyle w:val="scnewcodesection"/>
      </w:pPr>
    </w:p>
    <w:p w:rsidR="008C3EC3" w:rsidRDefault="008C3EC3" w14:paraId="50063D80" w14:textId="1B324B15">
      <w:pPr>
        <w:pStyle w:val="scnewcodesection"/>
      </w:pPr>
      <w:r>
        <w:tab/>
      </w:r>
      <w:bookmarkStart w:name="ns_T15C32N720_16e34b4f2" w:id="11"/>
      <w:r>
        <w:t>S</w:t>
      </w:r>
      <w:bookmarkEnd w:id="11"/>
      <w:r>
        <w:t>ection 15‑32‑720.</w:t>
      </w:r>
      <w:r>
        <w:tab/>
      </w:r>
      <w:bookmarkStart w:name="ss_T15C32N720SA_lv1_527c2015a" w:id="12"/>
      <w:r w:rsidR="0077606C">
        <w:t>(</w:t>
      </w:r>
      <w:bookmarkEnd w:id="12"/>
      <w:r w:rsidR="0077606C">
        <w:t xml:space="preserve">A) </w:t>
      </w:r>
      <w:r w:rsidRPr="0050776E" w:rsidR="0050776E">
        <w:t>In any civil action to recover damages for health care treatment or services, the plaintiff has the burden of proof to offer</w:t>
      </w:r>
      <w:r w:rsidRPr="0050776E" w:rsidR="0050776E">
        <w:rPr>
          <w:b/>
          <w:bCs/>
        </w:rPr>
        <w:t xml:space="preserve"> </w:t>
      </w:r>
      <w:r w:rsidRPr="0050776E" w:rsidR="0050776E">
        <w:t xml:space="preserve">evidence to prove the amount of </w:t>
      </w:r>
      <w:r w:rsidR="0050776E">
        <w:t>the</w:t>
      </w:r>
      <w:r w:rsidRPr="0050776E" w:rsidR="0050776E">
        <w:t xml:space="preserve"> damages</w:t>
      </w:r>
      <w:r w:rsidR="0050776E">
        <w:t xml:space="preserve"> he claims</w:t>
      </w:r>
      <w:r w:rsidRPr="0050776E" w:rsidR="0050776E">
        <w:t>.</w:t>
      </w:r>
      <w:r w:rsidR="0050776E">
        <w:t xml:space="preserve"> </w:t>
      </w:r>
      <w:r w:rsidRPr="0050776E" w:rsidR="0050776E">
        <w:lastRenderedPageBreak/>
        <w:t xml:space="preserve">Damages for health care treatment or services shall be limited to the reasonable value of medically necessary care, and the amount of </w:t>
      </w:r>
      <w:r w:rsidR="0050776E">
        <w:t>the</w:t>
      </w:r>
      <w:r w:rsidRPr="0050776E" w:rsidR="0050776E">
        <w:t xml:space="preserve"> damages shall be determined by the trier of fact.</w:t>
      </w:r>
    </w:p>
    <w:p w:rsidR="0077606C" w:rsidRDefault="0077606C" w14:paraId="4C77B533" w14:textId="5D84A4A7">
      <w:pPr>
        <w:pStyle w:val="scnewcodesection"/>
      </w:pPr>
      <w:r>
        <w:tab/>
      </w:r>
      <w:bookmarkStart w:name="ss_T15C32N720SB_lv1_a00f4fee1" w:id="13"/>
      <w:r>
        <w:t>(</w:t>
      </w:r>
      <w:bookmarkEnd w:id="13"/>
      <w:r w:rsidR="0050776E">
        <w:t>B</w:t>
      </w:r>
      <w:r>
        <w:t xml:space="preserve">) </w:t>
      </w:r>
      <w:r w:rsidRPr="0050776E" w:rsidR="0050776E">
        <w:t>Evidence offered to prove the amount of damages for health care</w:t>
      </w:r>
      <w:r w:rsidRPr="0050776E" w:rsidR="0050776E">
        <w:rPr>
          <w:b/>
          <w:bCs/>
        </w:rPr>
        <w:t xml:space="preserve"> </w:t>
      </w:r>
      <w:r w:rsidRPr="0050776E" w:rsidR="0050776E">
        <w:t>treatment or services shall include the amounts charged or reasonably expected to be charged for past, present, or future health care treatment or services and:</w:t>
      </w:r>
    </w:p>
    <w:p w:rsidR="0050776E" w:rsidRDefault="0050776E" w14:paraId="4918D567" w14:textId="3EA3867A">
      <w:pPr>
        <w:pStyle w:val="scnewcodesection"/>
      </w:pPr>
      <w:r>
        <w:tab/>
      </w:r>
      <w:r>
        <w:tab/>
      </w:r>
      <w:bookmarkStart w:name="ss_T15C32N720S1_lv2_d60d28637" w:id="14"/>
      <w:r>
        <w:t>(</w:t>
      </w:r>
      <w:bookmarkEnd w:id="14"/>
      <w:r>
        <w:t xml:space="preserve">1) </w:t>
      </w:r>
      <w:r w:rsidRPr="0050776E">
        <w:t>if the claimant</w:t>
      </w:r>
      <w:r w:rsidRPr="0050776E">
        <w:rPr>
          <w:b/>
          <w:bCs/>
        </w:rPr>
        <w:t xml:space="preserve"> </w:t>
      </w:r>
      <w:r w:rsidRPr="0050776E">
        <w:t xml:space="preserve">has any form of public or private health insurance, the amounts actually necessary to satisfy </w:t>
      </w:r>
      <w:r>
        <w:t>the</w:t>
      </w:r>
      <w:r w:rsidRPr="0050776E">
        <w:t xml:space="preserve"> charges pursuant to the insurance contract or applicable coverage, regardless of whether the health insurance has been used, is used, or will be used to satisfy </w:t>
      </w:r>
      <w:r>
        <w:t>the</w:t>
      </w:r>
      <w:r w:rsidRPr="0050776E">
        <w:t xml:space="preserve"> charges;</w:t>
      </w:r>
      <w:r>
        <w:t xml:space="preserve"> or</w:t>
      </w:r>
    </w:p>
    <w:p w:rsidR="008843E8" w:rsidP="008843E8" w:rsidRDefault="0050776E" w14:paraId="7C220F6E" w14:textId="77777777">
      <w:pPr>
        <w:pStyle w:val="scnewcodesection"/>
      </w:pPr>
      <w:r>
        <w:tab/>
      </w:r>
      <w:r>
        <w:tab/>
      </w:r>
      <w:bookmarkStart w:name="ss_T15C32N720S2_lv2_eec757942" w:id="15"/>
      <w:r>
        <w:t>(</w:t>
      </w:r>
      <w:bookmarkEnd w:id="15"/>
      <w:r>
        <w:t xml:space="preserve">2) </w:t>
      </w:r>
      <w:r w:rsidRPr="0050776E">
        <w:t>if the claimant</w:t>
      </w:r>
      <w:r w:rsidRPr="0050776E">
        <w:rPr>
          <w:b/>
          <w:bCs/>
        </w:rPr>
        <w:t xml:space="preserve"> </w:t>
      </w:r>
      <w:r w:rsidRPr="0050776E">
        <w:t xml:space="preserve">does not have health insurance, the amount the provider has agreed to accept in satisfaction of </w:t>
      </w:r>
      <w:r>
        <w:t>the</w:t>
      </w:r>
      <w:r w:rsidRPr="0050776E">
        <w:t xml:space="preserve"> charges or, in the absence of such </w:t>
      </w:r>
      <w:r>
        <w:t xml:space="preserve">an </w:t>
      </w:r>
      <w:r w:rsidRPr="0050776E">
        <w:t>agreement, one hundred twenty percent of the Medicare reimbursement rate in effect on the date of the plaintiff’s incurred health care treatment or services, or, if there is no applicable Medicare rate for a service, one hundred seventy percent of the applicable state Medicaid rate.</w:t>
      </w:r>
    </w:p>
    <w:p w:rsidRPr="008843E8" w:rsidR="008843E8" w:rsidP="008843E8" w:rsidRDefault="008843E8" w14:paraId="6DC322B4" w14:textId="4074558F">
      <w:pPr>
        <w:pStyle w:val="scnewcodesection"/>
      </w:pPr>
      <w:r>
        <w:tab/>
      </w:r>
      <w:bookmarkStart w:name="ss_T15C32N720SC_lv1_e04fe415f" w:id="16"/>
      <w:r w:rsidR="0050776E">
        <w:t>(</w:t>
      </w:r>
      <w:bookmarkEnd w:id="16"/>
      <w:r w:rsidR="0050776E">
        <w:t>C)</w:t>
      </w:r>
      <w:r>
        <w:t xml:space="preserve"> In </w:t>
      </w:r>
      <w:r w:rsidRPr="008843E8">
        <w:t>any claim for health care</w:t>
      </w:r>
      <w:r w:rsidRPr="008843E8">
        <w:rPr>
          <w:b/>
          <w:bCs/>
        </w:rPr>
        <w:t xml:space="preserve"> </w:t>
      </w:r>
      <w:r w:rsidRPr="008843E8">
        <w:t>expenses for treatment or services</w:t>
      </w:r>
      <w:r w:rsidRPr="008843E8">
        <w:rPr>
          <w:b/>
          <w:bCs/>
        </w:rPr>
        <w:t xml:space="preserve"> </w:t>
      </w:r>
      <w:r w:rsidRPr="008843E8">
        <w:t>rendered under a letter of protection, the plaintiff</w:t>
      </w:r>
      <w:r w:rsidRPr="008843E8">
        <w:rPr>
          <w:b/>
          <w:bCs/>
        </w:rPr>
        <w:t xml:space="preserve"> </w:t>
      </w:r>
      <w:r w:rsidRPr="008843E8">
        <w:t>must disclose:</w:t>
      </w:r>
    </w:p>
    <w:p w:rsidRPr="008843E8" w:rsidR="008843E8" w:rsidP="008843E8" w:rsidRDefault="008843E8" w14:paraId="721754B7" w14:textId="6CEDCF6B">
      <w:pPr>
        <w:pStyle w:val="scnewcodesection"/>
        <w:ind w:left="216"/>
      </w:pPr>
      <w:r w:rsidRPr="008843E8">
        <w:tab/>
      </w:r>
      <w:r w:rsidRPr="008843E8">
        <w:tab/>
      </w:r>
      <w:bookmarkStart w:name="ss_T15C32N720S1_lv2_dc243cdbc" w:id="17"/>
      <w:r w:rsidRPr="008843E8">
        <w:t>(</w:t>
      </w:r>
      <w:bookmarkEnd w:id="17"/>
      <w:r w:rsidRPr="008843E8">
        <w:t>1) a copy of the letter of protection;</w:t>
      </w:r>
    </w:p>
    <w:p w:rsidR="008843E8" w:rsidP="008843E8" w:rsidRDefault="008843E8" w14:paraId="18B85156" w14:textId="6D8A81E3">
      <w:pPr>
        <w:pStyle w:val="scnewcodesection"/>
        <w:ind w:left="216"/>
      </w:pPr>
      <w:r w:rsidRPr="008843E8">
        <w:tab/>
      </w:r>
      <w:r w:rsidRPr="008843E8">
        <w:tab/>
      </w:r>
      <w:bookmarkStart w:name="ss_T15C32N720S2_lv2_4db1356ec" w:id="18"/>
      <w:r w:rsidRPr="008843E8">
        <w:t>(</w:t>
      </w:r>
      <w:bookmarkEnd w:id="18"/>
      <w:r w:rsidRPr="008843E8">
        <w:t>2) all billings for the plaintiff’s treatment or services expenses, which must be itemized and, to the extent applicable, coded according to</w:t>
      </w:r>
      <w:r>
        <w:t xml:space="preserve"> generally accepted billing practices;</w:t>
      </w:r>
    </w:p>
    <w:p w:rsidR="008843E8" w:rsidP="008843E8" w:rsidRDefault="008843E8" w14:paraId="0FF4CA79" w14:textId="67F69BFC">
      <w:pPr>
        <w:pStyle w:val="scnewcodesection"/>
        <w:ind w:left="216"/>
      </w:pPr>
      <w:r>
        <w:tab/>
      </w:r>
      <w:r>
        <w:tab/>
      </w:r>
      <w:bookmarkStart w:name="ss_T15C32N720S3_lv2_7e26f55eb" w:id="19"/>
      <w:r>
        <w:t>(</w:t>
      </w:r>
      <w:bookmarkEnd w:id="19"/>
      <w:r>
        <w:t xml:space="preserve">3) </w:t>
      </w:r>
      <w:r w:rsidRPr="008843E8">
        <w:t>if the health care provider sells the accounts receivable for the plaintiff’s health care</w:t>
      </w:r>
      <w:r w:rsidRPr="008843E8">
        <w:rPr>
          <w:b/>
          <w:bCs/>
        </w:rPr>
        <w:t xml:space="preserve"> </w:t>
      </w:r>
      <w:r w:rsidRPr="008843E8">
        <w:t>expenses to a</w:t>
      </w:r>
      <w:r>
        <w:t xml:space="preserve"> third party</w:t>
      </w:r>
      <w:r w:rsidR="0020277D">
        <w:t>, then:</w:t>
      </w:r>
    </w:p>
    <w:p w:rsidR="008843E8" w:rsidP="008843E8" w:rsidRDefault="008843E8" w14:paraId="2C128CE3" w14:textId="1C0B5DDE">
      <w:pPr>
        <w:pStyle w:val="scnewcodesection"/>
        <w:ind w:left="216"/>
      </w:pPr>
      <w:r>
        <w:tab/>
      </w:r>
      <w:r>
        <w:tab/>
      </w:r>
      <w:r>
        <w:tab/>
      </w:r>
      <w:bookmarkStart w:name="ss_T15C32N720Sa_lv3_91a9540ee" w:id="20"/>
      <w:r>
        <w:t>(</w:t>
      </w:r>
      <w:bookmarkEnd w:id="20"/>
      <w:r>
        <w:t>a) the name of the thir</w:t>
      </w:r>
      <w:r w:rsidR="00EA3429">
        <w:t>d</w:t>
      </w:r>
      <w:r>
        <w:t xml:space="preserve"> party who purchased the accounts; and</w:t>
      </w:r>
    </w:p>
    <w:p w:rsidR="008843E8" w:rsidP="008843E8" w:rsidRDefault="008843E8" w14:paraId="29CF2591" w14:textId="331C7851">
      <w:pPr>
        <w:pStyle w:val="scnewcodesection"/>
        <w:ind w:left="216"/>
      </w:pPr>
      <w:r>
        <w:tab/>
      </w:r>
      <w:r>
        <w:tab/>
      </w:r>
      <w:r>
        <w:tab/>
      </w:r>
      <w:bookmarkStart w:name="ss_T15C32N720Sb_lv3_f7ff6b8bf" w:id="21"/>
      <w:r>
        <w:t>(</w:t>
      </w:r>
      <w:bookmarkEnd w:id="21"/>
      <w:r>
        <w:t>b) the dollar amount for which the third party purchased the accounts including, but not limited to, any discount provided below the invoice amount;</w:t>
      </w:r>
    </w:p>
    <w:p w:rsidR="008843E8" w:rsidP="008843E8" w:rsidRDefault="008843E8" w14:paraId="49678D4D" w14:textId="4842B460">
      <w:pPr>
        <w:pStyle w:val="scnewcodesection"/>
        <w:ind w:left="216"/>
      </w:pPr>
      <w:r>
        <w:tab/>
      </w:r>
      <w:r>
        <w:tab/>
      </w:r>
      <w:bookmarkStart w:name="ss_T15C32N720S4_lv2_a14e081a9" w:id="22"/>
      <w:r>
        <w:t>(</w:t>
      </w:r>
      <w:bookmarkEnd w:id="22"/>
      <w:r>
        <w:t xml:space="preserve">4) </w:t>
      </w:r>
      <w:r w:rsidRPr="008843E8">
        <w:t>whether the claimant, at the time the treatment or services were rendered, had health insurance and, if so, the identity of insurance carrier and details concerning the coverage provided for in the insurance policy; and</w:t>
      </w:r>
    </w:p>
    <w:p w:rsidR="008843E8" w:rsidP="008843E8" w:rsidRDefault="008843E8" w14:paraId="47BB63AE" w14:textId="08AE474B">
      <w:pPr>
        <w:pStyle w:val="scnewcodesection"/>
        <w:ind w:left="216"/>
      </w:pPr>
      <w:r>
        <w:tab/>
      </w:r>
      <w:r>
        <w:tab/>
      </w:r>
      <w:bookmarkStart w:name="ss_T15C32N720S5_lv2_7f0d247b4" w:id="23"/>
      <w:r>
        <w:t>(</w:t>
      </w:r>
      <w:bookmarkEnd w:id="23"/>
      <w:r>
        <w:t xml:space="preserve">5) </w:t>
      </w:r>
      <w:r w:rsidRPr="008843E8">
        <w:t>whether the claimant</w:t>
      </w:r>
      <w:r w:rsidRPr="008843E8">
        <w:rPr>
          <w:b/>
          <w:bCs/>
        </w:rPr>
        <w:t xml:space="preserve"> </w:t>
      </w:r>
      <w:r w:rsidRPr="008843E8">
        <w:t>was referred for treatment or services under a letter of protection and, if so, the identity of the person who made the referral. If the referral is made by the claimant’s</w:t>
      </w:r>
      <w:r w:rsidRPr="008843E8">
        <w:rPr>
          <w:b/>
          <w:bCs/>
        </w:rPr>
        <w:t xml:space="preserve"> </w:t>
      </w:r>
      <w:r w:rsidRPr="008843E8">
        <w:t>attorney, disclosure of the referral does not fall within the attorney‑client privilege, is required, and evidence of the referral is admissible. Under these circumstances, the financial relationship between an attorney</w:t>
      </w:r>
      <w:r w:rsidRPr="008843E8">
        <w:rPr>
          <w:b/>
          <w:bCs/>
        </w:rPr>
        <w:t xml:space="preserve"> </w:t>
      </w:r>
      <w:r w:rsidRPr="008843E8">
        <w:t>or law firm and a health care</w:t>
      </w:r>
      <w:r w:rsidRPr="008843E8">
        <w:rPr>
          <w:b/>
          <w:bCs/>
        </w:rPr>
        <w:t xml:space="preserve"> </w:t>
      </w:r>
      <w:r w:rsidRPr="008843E8">
        <w:t>provider, including the number of referrals, frequency, and financial benefit obtained, is relevant to the issue of the bias of a testifying health care</w:t>
      </w:r>
      <w:r w:rsidRPr="008843E8">
        <w:rPr>
          <w:b/>
          <w:bCs/>
        </w:rPr>
        <w:t xml:space="preserve"> </w:t>
      </w:r>
      <w:r w:rsidRPr="008843E8">
        <w:t>provider.</w:t>
      </w:r>
    </w:p>
    <w:p w:rsidR="008843E8" w:rsidP="008843E8" w:rsidRDefault="008843E8" w14:paraId="1F9977D7" w14:textId="125CD02E">
      <w:pPr>
        <w:pStyle w:val="scnewcodesection"/>
        <w:ind w:left="216"/>
      </w:pPr>
      <w:r>
        <w:tab/>
      </w:r>
      <w:bookmarkStart w:name="ss_T15C32N720SD_lv1_d0159d5c8" w:id="24"/>
      <w:r>
        <w:t>(</w:t>
      </w:r>
      <w:bookmarkEnd w:id="24"/>
      <w:r>
        <w:t xml:space="preserve">D) </w:t>
      </w:r>
      <w:r w:rsidRPr="008843E8">
        <w:t>Nothing in this section shall be construed or applied to limit the right of a plaintiff or defendant to present evidence or testimony, or both, challenging the reasonableness of health care expenses, whether incurred or projected future expenses, or the medical necessity of any treatment or service.</w:t>
      </w:r>
    </w:p>
    <w:p w:rsidR="008843E8" w:rsidP="008843E8" w:rsidRDefault="008843E8" w14:paraId="3B559BF2" w14:textId="79FC26AC">
      <w:pPr>
        <w:pStyle w:val="scnewcodesection"/>
        <w:ind w:left="216"/>
      </w:pPr>
      <w:r>
        <w:tab/>
      </w:r>
      <w:bookmarkStart w:name="ss_T15C32N720SE_lv1_7e03e8168" w:id="25"/>
      <w:r>
        <w:t>(</w:t>
      </w:r>
      <w:bookmarkEnd w:id="25"/>
      <w:r>
        <w:t xml:space="preserve">E) </w:t>
      </w:r>
      <w:r w:rsidRPr="008843E8">
        <w:t xml:space="preserve">It is the intent of the General Assembly that this section abrogates the common law collateral </w:t>
      </w:r>
      <w:r w:rsidRPr="008843E8">
        <w:lastRenderedPageBreak/>
        <w:t>source rule to the extent necessary to introduce the evidence described in this section; provided however, that nothing in this section shall be construed or applied to prevent the court from issuing appropriate jury instructions to clarify the role of collateral source payments and to prevent potential jury confusion regarding the effect of collateral source payments on the plaintiff’s recovery.</w:t>
      </w:r>
    </w:p>
    <w:p w:rsidR="00E84126" w:rsidP="00E84126" w:rsidRDefault="00E84126" w14:paraId="7BE3C560" w14:textId="77777777">
      <w:pPr>
        <w:pStyle w:val="scemptyline"/>
      </w:pPr>
    </w:p>
    <w:p w:rsidR="00E84126" w:rsidP="00F00F35" w:rsidRDefault="00E84126" w14:paraId="6CE4A1A1" w14:textId="1BC13A32">
      <w:pPr>
        <w:pStyle w:val="scnoncodifiedsection"/>
      </w:pPr>
      <w:bookmarkStart w:name="bs_num_2_716783454" w:id="26"/>
      <w:r>
        <w:t>S</w:t>
      </w:r>
      <w:bookmarkEnd w:id="26"/>
      <w:r>
        <w:t>ECTION 2.</w:t>
      </w:r>
      <w:r>
        <w:tab/>
      </w:r>
      <w:r w:rsidR="00CE19A8">
        <w:t>The Code Commissioner is directed to restyle Chapter 32, Title 15 as “Damage Awards.”</w:t>
      </w:r>
    </w:p>
    <w:p w:rsidR="00993A1D" w:rsidP="00993A1D" w:rsidRDefault="00993A1D" w14:paraId="1B4988E1" w14:textId="77777777">
      <w:pPr>
        <w:pStyle w:val="scemptyline"/>
      </w:pPr>
    </w:p>
    <w:p w:rsidR="003F121F" w:rsidP="003F121F" w:rsidRDefault="00993A1D" w14:paraId="6B2831B4" w14:textId="77777777">
      <w:pPr>
        <w:pStyle w:val="scnoncodifiedsection"/>
      </w:pPr>
      <w:bookmarkStart w:name="bs_num_3_d8115eb3b" w:id="27"/>
      <w:bookmarkStart w:name="savings_0f585d5cf" w:id="28"/>
      <w:r>
        <w:t>S</w:t>
      </w:r>
      <w:bookmarkEnd w:id="27"/>
      <w:r>
        <w:t>ECTION 3.</w:t>
      </w:r>
      <w:r>
        <w:tab/>
      </w:r>
      <w:bookmarkEnd w:id="28"/>
      <w:r w:rsidRPr="00683A6D" w:rsidR="003F121F">
        <w:t xml:space="preserve">The repeal or amendment by this act of any law, whether temporary or permanent or civil or criminal, does not </w:t>
      </w:r>
      <w:r w:rsidR="003F121F">
        <w:t>a</w:t>
      </w:r>
      <w:r w:rsidRPr="00683A6D" w:rsidR="003F121F">
        <w:t>ffect pending actions, rights, duties, or liabilities founded thereon, or alter</w:t>
      </w:r>
      <w:r w:rsidRPr="007E38A7" w:rsidR="003F121F">
        <w:t>,</w:t>
      </w:r>
      <w:r w:rsidRPr="00683A6D" w:rsidR="003F121F">
        <w:t xml:space="preserve"> discharge, release or extinguish any penalty, forfeiture, or liability</w:t>
      </w:r>
      <w:r w:rsidRPr="007E38A7" w:rsidR="003F121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F121F">
        <w:t>.</w:t>
      </w:r>
    </w:p>
    <w:p w:rsidR="00692A87" w:rsidP="00692A87" w:rsidRDefault="00692A87" w14:paraId="4009223C" w14:textId="77777777">
      <w:pPr>
        <w:pStyle w:val="scemptyline"/>
      </w:pPr>
    </w:p>
    <w:p w:rsidR="00692A87" w:rsidP="00260D2C" w:rsidRDefault="00692A87" w14:paraId="144C7FFE" w14:textId="55521B2E">
      <w:pPr>
        <w:pStyle w:val="scnoncodifiedsection"/>
      </w:pPr>
      <w:bookmarkStart w:name="bs_num_4_05cdb58a1" w:id="29"/>
      <w:bookmarkStart w:name="severability_8627eeee5" w:id="30"/>
      <w:r>
        <w:t>S</w:t>
      </w:r>
      <w:bookmarkEnd w:id="29"/>
      <w:r>
        <w:t>ECTION 4.</w:t>
      </w:r>
      <w:r>
        <w:tab/>
      </w:r>
      <w:bookmarkEnd w:id="30"/>
      <w:r w:rsidRPr="00B0415B" w:rsidR="00260D2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C3EC3" w:rsidRDefault="008C3EC3" w14:paraId="13BE984D" w14:textId="39733888">
      <w:pPr>
        <w:pStyle w:val="scemptyline"/>
      </w:pPr>
    </w:p>
    <w:p w:rsidRPr="00DF3B44" w:rsidR="007A10F1" w:rsidP="007A10F1" w:rsidRDefault="00E27805" w14:paraId="11E58A82" w14:textId="77777777">
      <w:pPr>
        <w:pStyle w:val="scnoncodifiedsection"/>
      </w:pPr>
      <w:bookmarkStart w:name="bs_num_5_lastsection" w:id="31"/>
      <w:bookmarkStart w:name="eff_date_section" w:id="32"/>
      <w:r w:rsidRPr="00DF3B44">
        <w:t>S</w:t>
      </w:r>
      <w:bookmarkEnd w:id="31"/>
      <w:r w:rsidRPr="00DF3B44">
        <w:t>ECTION 5.</w:t>
      </w:r>
      <w:r w:rsidRPr="00DF3B44" w:rsidR="005D3013">
        <w:tab/>
      </w:r>
      <w:r w:rsidRPr="00DF3B44" w:rsidR="007A10F1">
        <w:t>This act takes effect upon approval by the Governor.</w:t>
      </w:r>
      <w:bookmarkEnd w:id="32"/>
    </w:p>
    <w:p w:rsidRPr="00DF3B44" w:rsidR="005516F6" w:rsidP="009E4191" w:rsidRDefault="007A10F1" w14:paraId="2DFF4A1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0B4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2B43" w14:textId="77777777" w:rsidR="003C60AA" w:rsidRDefault="003C60AA" w:rsidP="0010329A">
      <w:pPr>
        <w:spacing w:after="0" w:line="240" w:lineRule="auto"/>
      </w:pPr>
      <w:r>
        <w:separator/>
      </w:r>
    </w:p>
    <w:p w14:paraId="296E7984" w14:textId="77777777" w:rsidR="003C60AA" w:rsidRDefault="003C60AA"/>
  </w:endnote>
  <w:endnote w:type="continuationSeparator" w:id="0">
    <w:p w14:paraId="28492619" w14:textId="77777777" w:rsidR="003C60AA" w:rsidRDefault="003C60AA" w:rsidP="0010329A">
      <w:pPr>
        <w:spacing w:after="0" w:line="240" w:lineRule="auto"/>
      </w:pPr>
      <w:r>
        <w:continuationSeparator/>
      </w:r>
    </w:p>
    <w:p w14:paraId="19475158" w14:textId="77777777" w:rsidR="003C60AA" w:rsidRDefault="003C60AA"/>
  </w:endnote>
  <w:endnote w:type="continuationNotice" w:id="1">
    <w:p w14:paraId="3CBD77A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ECD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53C129A" w14:textId="6B6BDEA3" w:rsidR="00685035" w:rsidRPr="007B4AF7" w:rsidRDefault="00020B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72BF">
              <w:t>[0930]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72B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E5E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DD47" w14:textId="77777777" w:rsidR="003C60AA" w:rsidRDefault="003C60AA" w:rsidP="0010329A">
      <w:pPr>
        <w:spacing w:after="0" w:line="240" w:lineRule="auto"/>
      </w:pPr>
      <w:r>
        <w:separator/>
      </w:r>
    </w:p>
    <w:p w14:paraId="7073952D" w14:textId="77777777" w:rsidR="003C60AA" w:rsidRDefault="003C60AA"/>
  </w:footnote>
  <w:footnote w:type="continuationSeparator" w:id="0">
    <w:p w14:paraId="29B61C62" w14:textId="77777777" w:rsidR="003C60AA" w:rsidRDefault="003C60AA" w:rsidP="0010329A">
      <w:pPr>
        <w:spacing w:after="0" w:line="240" w:lineRule="auto"/>
      </w:pPr>
      <w:r>
        <w:continuationSeparator/>
      </w:r>
    </w:p>
    <w:p w14:paraId="4A6BA6AE" w14:textId="77777777" w:rsidR="003C60AA" w:rsidRDefault="003C60AA"/>
  </w:footnote>
  <w:footnote w:type="continuationNotice" w:id="1">
    <w:p w14:paraId="0179F32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FF1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A8F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3A3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D34"/>
    <w:rsid w:val="00017FB0"/>
    <w:rsid w:val="00020B30"/>
    <w:rsid w:val="00020B5D"/>
    <w:rsid w:val="00026421"/>
    <w:rsid w:val="00030409"/>
    <w:rsid w:val="00037F04"/>
    <w:rsid w:val="000404BF"/>
    <w:rsid w:val="0004330F"/>
    <w:rsid w:val="00044B84"/>
    <w:rsid w:val="000479D0"/>
    <w:rsid w:val="0006464F"/>
    <w:rsid w:val="00066B54"/>
    <w:rsid w:val="00072FCD"/>
    <w:rsid w:val="00074A4F"/>
    <w:rsid w:val="00077B65"/>
    <w:rsid w:val="000A3C25"/>
    <w:rsid w:val="000A60B0"/>
    <w:rsid w:val="000B4C02"/>
    <w:rsid w:val="000B5B4A"/>
    <w:rsid w:val="000B7FE1"/>
    <w:rsid w:val="000C3E88"/>
    <w:rsid w:val="000C46B9"/>
    <w:rsid w:val="000C58E4"/>
    <w:rsid w:val="000C6F9A"/>
    <w:rsid w:val="000D2570"/>
    <w:rsid w:val="000D2F44"/>
    <w:rsid w:val="000D33E4"/>
    <w:rsid w:val="000D4BFD"/>
    <w:rsid w:val="000E578A"/>
    <w:rsid w:val="000F2250"/>
    <w:rsid w:val="0010148E"/>
    <w:rsid w:val="001026EE"/>
    <w:rsid w:val="0010329A"/>
    <w:rsid w:val="00105756"/>
    <w:rsid w:val="001164F9"/>
    <w:rsid w:val="0011719C"/>
    <w:rsid w:val="001269C3"/>
    <w:rsid w:val="00131284"/>
    <w:rsid w:val="00140049"/>
    <w:rsid w:val="0017071C"/>
    <w:rsid w:val="00171601"/>
    <w:rsid w:val="001730EB"/>
    <w:rsid w:val="00173276"/>
    <w:rsid w:val="00176122"/>
    <w:rsid w:val="001862C6"/>
    <w:rsid w:val="0019025B"/>
    <w:rsid w:val="00192AF7"/>
    <w:rsid w:val="001961C9"/>
    <w:rsid w:val="0019721A"/>
    <w:rsid w:val="001972BF"/>
    <w:rsid w:val="00197366"/>
    <w:rsid w:val="001A136C"/>
    <w:rsid w:val="001B11FA"/>
    <w:rsid w:val="001B6DA2"/>
    <w:rsid w:val="001C25EC"/>
    <w:rsid w:val="001C79A8"/>
    <w:rsid w:val="001E1E86"/>
    <w:rsid w:val="001F2A41"/>
    <w:rsid w:val="001F313F"/>
    <w:rsid w:val="001F331D"/>
    <w:rsid w:val="001F394C"/>
    <w:rsid w:val="0020277D"/>
    <w:rsid w:val="002038AA"/>
    <w:rsid w:val="0021046F"/>
    <w:rsid w:val="002114C8"/>
    <w:rsid w:val="0021166F"/>
    <w:rsid w:val="002162DF"/>
    <w:rsid w:val="00220C84"/>
    <w:rsid w:val="002241D0"/>
    <w:rsid w:val="00230038"/>
    <w:rsid w:val="00233975"/>
    <w:rsid w:val="00234720"/>
    <w:rsid w:val="00236D73"/>
    <w:rsid w:val="00246535"/>
    <w:rsid w:val="00257F60"/>
    <w:rsid w:val="00260D2C"/>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63B2"/>
    <w:rsid w:val="003421F1"/>
    <w:rsid w:val="0034279C"/>
    <w:rsid w:val="00354F64"/>
    <w:rsid w:val="003559A1"/>
    <w:rsid w:val="00361563"/>
    <w:rsid w:val="00371D36"/>
    <w:rsid w:val="00373E17"/>
    <w:rsid w:val="003775E6"/>
    <w:rsid w:val="00381998"/>
    <w:rsid w:val="00384988"/>
    <w:rsid w:val="003A5F1C"/>
    <w:rsid w:val="003B26A2"/>
    <w:rsid w:val="003B2D61"/>
    <w:rsid w:val="003C3E2E"/>
    <w:rsid w:val="003C5DFF"/>
    <w:rsid w:val="003C60AA"/>
    <w:rsid w:val="003D4A3C"/>
    <w:rsid w:val="003D55B2"/>
    <w:rsid w:val="003E0033"/>
    <w:rsid w:val="003E44D9"/>
    <w:rsid w:val="003E5452"/>
    <w:rsid w:val="003E7165"/>
    <w:rsid w:val="003E7FF6"/>
    <w:rsid w:val="003F121F"/>
    <w:rsid w:val="004046B5"/>
    <w:rsid w:val="00406F27"/>
    <w:rsid w:val="004075E4"/>
    <w:rsid w:val="004141B8"/>
    <w:rsid w:val="004203B9"/>
    <w:rsid w:val="00432135"/>
    <w:rsid w:val="0044637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E8C"/>
    <w:rsid w:val="005002ED"/>
    <w:rsid w:val="00500DBC"/>
    <w:rsid w:val="00503962"/>
    <w:rsid w:val="0050776E"/>
    <w:rsid w:val="005102BE"/>
    <w:rsid w:val="00523F7F"/>
    <w:rsid w:val="00524D54"/>
    <w:rsid w:val="0054531B"/>
    <w:rsid w:val="00546C24"/>
    <w:rsid w:val="005476FF"/>
    <w:rsid w:val="00551186"/>
    <w:rsid w:val="005516F6"/>
    <w:rsid w:val="00551789"/>
    <w:rsid w:val="00552842"/>
    <w:rsid w:val="00554E89"/>
    <w:rsid w:val="00555945"/>
    <w:rsid w:val="00564B58"/>
    <w:rsid w:val="00571C37"/>
    <w:rsid w:val="00572281"/>
    <w:rsid w:val="005801DD"/>
    <w:rsid w:val="00592A40"/>
    <w:rsid w:val="005A28BC"/>
    <w:rsid w:val="005A5377"/>
    <w:rsid w:val="005B6C0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A4C"/>
    <w:rsid w:val="006454BB"/>
    <w:rsid w:val="00657CF4"/>
    <w:rsid w:val="00661463"/>
    <w:rsid w:val="00662399"/>
    <w:rsid w:val="00663B8D"/>
    <w:rsid w:val="00663E00"/>
    <w:rsid w:val="00664242"/>
    <w:rsid w:val="00664F48"/>
    <w:rsid w:val="00664FAD"/>
    <w:rsid w:val="0067345B"/>
    <w:rsid w:val="00676D39"/>
    <w:rsid w:val="00683986"/>
    <w:rsid w:val="00685035"/>
    <w:rsid w:val="00685770"/>
    <w:rsid w:val="00690DBA"/>
    <w:rsid w:val="00692A87"/>
    <w:rsid w:val="006964F9"/>
    <w:rsid w:val="006A395F"/>
    <w:rsid w:val="006A65E2"/>
    <w:rsid w:val="006B37BD"/>
    <w:rsid w:val="006C092D"/>
    <w:rsid w:val="006C099D"/>
    <w:rsid w:val="006C18F0"/>
    <w:rsid w:val="006C7E01"/>
    <w:rsid w:val="006D3A72"/>
    <w:rsid w:val="006D64A5"/>
    <w:rsid w:val="006E0935"/>
    <w:rsid w:val="006E353F"/>
    <w:rsid w:val="006E35AB"/>
    <w:rsid w:val="006E7F21"/>
    <w:rsid w:val="00711AA9"/>
    <w:rsid w:val="007140E6"/>
    <w:rsid w:val="0071781E"/>
    <w:rsid w:val="007205B7"/>
    <w:rsid w:val="00722155"/>
    <w:rsid w:val="00730C87"/>
    <w:rsid w:val="00737F19"/>
    <w:rsid w:val="00766E21"/>
    <w:rsid w:val="00772597"/>
    <w:rsid w:val="00772649"/>
    <w:rsid w:val="00773902"/>
    <w:rsid w:val="0077606C"/>
    <w:rsid w:val="00777C9F"/>
    <w:rsid w:val="00782BF8"/>
    <w:rsid w:val="00783C75"/>
    <w:rsid w:val="007849D9"/>
    <w:rsid w:val="00787433"/>
    <w:rsid w:val="007A10F1"/>
    <w:rsid w:val="007A3D50"/>
    <w:rsid w:val="007B2D29"/>
    <w:rsid w:val="007B412F"/>
    <w:rsid w:val="007B4AF7"/>
    <w:rsid w:val="007B4DBF"/>
    <w:rsid w:val="007C494C"/>
    <w:rsid w:val="007C5458"/>
    <w:rsid w:val="007D0ADE"/>
    <w:rsid w:val="007D2C67"/>
    <w:rsid w:val="007E06BB"/>
    <w:rsid w:val="007F50D1"/>
    <w:rsid w:val="007F5686"/>
    <w:rsid w:val="00816D52"/>
    <w:rsid w:val="00830F66"/>
    <w:rsid w:val="00831048"/>
    <w:rsid w:val="0083272B"/>
    <w:rsid w:val="00834272"/>
    <w:rsid w:val="00837134"/>
    <w:rsid w:val="008462BE"/>
    <w:rsid w:val="008625C1"/>
    <w:rsid w:val="00866396"/>
    <w:rsid w:val="00867933"/>
    <w:rsid w:val="0087671D"/>
    <w:rsid w:val="008806F9"/>
    <w:rsid w:val="008843E8"/>
    <w:rsid w:val="00887957"/>
    <w:rsid w:val="00897736"/>
    <w:rsid w:val="008A57E3"/>
    <w:rsid w:val="008B0B4E"/>
    <w:rsid w:val="008B5BF4"/>
    <w:rsid w:val="008C0CEE"/>
    <w:rsid w:val="008C1B18"/>
    <w:rsid w:val="008C3EC3"/>
    <w:rsid w:val="008D46EC"/>
    <w:rsid w:val="008E0E25"/>
    <w:rsid w:val="008E5C89"/>
    <w:rsid w:val="008E61A1"/>
    <w:rsid w:val="008F6674"/>
    <w:rsid w:val="0090092D"/>
    <w:rsid w:val="009031EF"/>
    <w:rsid w:val="00911617"/>
    <w:rsid w:val="00917EA3"/>
    <w:rsid w:val="00917EE0"/>
    <w:rsid w:val="00921C89"/>
    <w:rsid w:val="00926966"/>
    <w:rsid w:val="00926D03"/>
    <w:rsid w:val="00932459"/>
    <w:rsid w:val="00934036"/>
    <w:rsid w:val="00934889"/>
    <w:rsid w:val="00935F1C"/>
    <w:rsid w:val="0094541D"/>
    <w:rsid w:val="009473EA"/>
    <w:rsid w:val="00954E7E"/>
    <w:rsid w:val="009554D9"/>
    <w:rsid w:val="009572F9"/>
    <w:rsid w:val="00960D0F"/>
    <w:rsid w:val="0098366F"/>
    <w:rsid w:val="00983A03"/>
    <w:rsid w:val="00986063"/>
    <w:rsid w:val="00991F67"/>
    <w:rsid w:val="00992876"/>
    <w:rsid w:val="00993A1D"/>
    <w:rsid w:val="009A0DCE"/>
    <w:rsid w:val="009A22CD"/>
    <w:rsid w:val="009A3E4B"/>
    <w:rsid w:val="009B35FD"/>
    <w:rsid w:val="009B6815"/>
    <w:rsid w:val="009D2967"/>
    <w:rsid w:val="009D3C2B"/>
    <w:rsid w:val="009E031C"/>
    <w:rsid w:val="009E4191"/>
    <w:rsid w:val="009F2AB1"/>
    <w:rsid w:val="009F4FAF"/>
    <w:rsid w:val="009F68F1"/>
    <w:rsid w:val="00A04529"/>
    <w:rsid w:val="00A0584B"/>
    <w:rsid w:val="00A14CA5"/>
    <w:rsid w:val="00A17135"/>
    <w:rsid w:val="00A21A6F"/>
    <w:rsid w:val="00A24E56"/>
    <w:rsid w:val="00A26A62"/>
    <w:rsid w:val="00A34F50"/>
    <w:rsid w:val="00A35A9B"/>
    <w:rsid w:val="00A4070E"/>
    <w:rsid w:val="00A40CA0"/>
    <w:rsid w:val="00A504A7"/>
    <w:rsid w:val="00A53677"/>
    <w:rsid w:val="00A53BF2"/>
    <w:rsid w:val="00A60D68"/>
    <w:rsid w:val="00A62657"/>
    <w:rsid w:val="00A73EFA"/>
    <w:rsid w:val="00A77A3B"/>
    <w:rsid w:val="00A92F6F"/>
    <w:rsid w:val="00A97523"/>
    <w:rsid w:val="00AA197A"/>
    <w:rsid w:val="00AA7824"/>
    <w:rsid w:val="00AB0FA3"/>
    <w:rsid w:val="00AB73BF"/>
    <w:rsid w:val="00AC335C"/>
    <w:rsid w:val="00AC37BF"/>
    <w:rsid w:val="00AC463E"/>
    <w:rsid w:val="00AD3BE2"/>
    <w:rsid w:val="00AD3E3D"/>
    <w:rsid w:val="00AE1EE4"/>
    <w:rsid w:val="00AE36EC"/>
    <w:rsid w:val="00AE7406"/>
    <w:rsid w:val="00AF1688"/>
    <w:rsid w:val="00AF46E6"/>
    <w:rsid w:val="00AF5139"/>
    <w:rsid w:val="00B05FDB"/>
    <w:rsid w:val="00B06EDA"/>
    <w:rsid w:val="00B1161F"/>
    <w:rsid w:val="00B11661"/>
    <w:rsid w:val="00B32B4D"/>
    <w:rsid w:val="00B4137E"/>
    <w:rsid w:val="00B54DF7"/>
    <w:rsid w:val="00B56223"/>
    <w:rsid w:val="00B56E79"/>
    <w:rsid w:val="00B57AA7"/>
    <w:rsid w:val="00B637AA"/>
    <w:rsid w:val="00B63BE2"/>
    <w:rsid w:val="00B656E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0EE6"/>
    <w:rsid w:val="00BE10A5"/>
    <w:rsid w:val="00BE4391"/>
    <w:rsid w:val="00BE6362"/>
    <w:rsid w:val="00BE6B59"/>
    <w:rsid w:val="00BF3E48"/>
    <w:rsid w:val="00C15F1B"/>
    <w:rsid w:val="00C16288"/>
    <w:rsid w:val="00C17D1D"/>
    <w:rsid w:val="00C35C0E"/>
    <w:rsid w:val="00C40FAB"/>
    <w:rsid w:val="00C45923"/>
    <w:rsid w:val="00C45B67"/>
    <w:rsid w:val="00C543E7"/>
    <w:rsid w:val="00C70225"/>
    <w:rsid w:val="00C72198"/>
    <w:rsid w:val="00C73C7D"/>
    <w:rsid w:val="00C75005"/>
    <w:rsid w:val="00C91187"/>
    <w:rsid w:val="00C970DF"/>
    <w:rsid w:val="00CA7E71"/>
    <w:rsid w:val="00CB2673"/>
    <w:rsid w:val="00CB701D"/>
    <w:rsid w:val="00CC3F0E"/>
    <w:rsid w:val="00CD08C9"/>
    <w:rsid w:val="00CD1FE8"/>
    <w:rsid w:val="00CD38CD"/>
    <w:rsid w:val="00CD3E0C"/>
    <w:rsid w:val="00CD5565"/>
    <w:rsid w:val="00CD616C"/>
    <w:rsid w:val="00CE19A8"/>
    <w:rsid w:val="00CF68D6"/>
    <w:rsid w:val="00CF7B4A"/>
    <w:rsid w:val="00D009F8"/>
    <w:rsid w:val="00D078DA"/>
    <w:rsid w:val="00D14995"/>
    <w:rsid w:val="00D15CFA"/>
    <w:rsid w:val="00D204F2"/>
    <w:rsid w:val="00D220BA"/>
    <w:rsid w:val="00D2455C"/>
    <w:rsid w:val="00D25023"/>
    <w:rsid w:val="00D265A6"/>
    <w:rsid w:val="00D27F8C"/>
    <w:rsid w:val="00D33843"/>
    <w:rsid w:val="00D44764"/>
    <w:rsid w:val="00D54A6F"/>
    <w:rsid w:val="00D5531A"/>
    <w:rsid w:val="00D57D57"/>
    <w:rsid w:val="00D62E42"/>
    <w:rsid w:val="00D772FB"/>
    <w:rsid w:val="00D90AF3"/>
    <w:rsid w:val="00D94E55"/>
    <w:rsid w:val="00DA1AA0"/>
    <w:rsid w:val="00DA512B"/>
    <w:rsid w:val="00DC44A8"/>
    <w:rsid w:val="00DD0F60"/>
    <w:rsid w:val="00DD38D9"/>
    <w:rsid w:val="00DE4BEE"/>
    <w:rsid w:val="00DE5B3D"/>
    <w:rsid w:val="00DE7112"/>
    <w:rsid w:val="00DF19BE"/>
    <w:rsid w:val="00DF3B44"/>
    <w:rsid w:val="00E1372E"/>
    <w:rsid w:val="00E21D30"/>
    <w:rsid w:val="00E242BE"/>
    <w:rsid w:val="00E24D9A"/>
    <w:rsid w:val="00E27805"/>
    <w:rsid w:val="00E27A11"/>
    <w:rsid w:val="00E30497"/>
    <w:rsid w:val="00E358A2"/>
    <w:rsid w:val="00E35C9A"/>
    <w:rsid w:val="00E3771B"/>
    <w:rsid w:val="00E40979"/>
    <w:rsid w:val="00E42D73"/>
    <w:rsid w:val="00E43F26"/>
    <w:rsid w:val="00E52A36"/>
    <w:rsid w:val="00E579B6"/>
    <w:rsid w:val="00E6378B"/>
    <w:rsid w:val="00E63EC3"/>
    <w:rsid w:val="00E653DA"/>
    <w:rsid w:val="00E65958"/>
    <w:rsid w:val="00E74915"/>
    <w:rsid w:val="00E81E4C"/>
    <w:rsid w:val="00E84126"/>
    <w:rsid w:val="00E84FE5"/>
    <w:rsid w:val="00E879A5"/>
    <w:rsid w:val="00E879FC"/>
    <w:rsid w:val="00EA2574"/>
    <w:rsid w:val="00EA2F1F"/>
    <w:rsid w:val="00EA3429"/>
    <w:rsid w:val="00EA3F2E"/>
    <w:rsid w:val="00EA57EC"/>
    <w:rsid w:val="00EA6208"/>
    <w:rsid w:val="00EB120E"/>
    <w:rsid w:val="00EB34C8"/>
    <w:rsid w:val="00EB46E2"/>
    <w:rsid w:val="00EC0045"/>
    <w:rsid w:val="00EC63EC"/>
    <w:rsid w:val="00ED452E"/>
    <w:rsid w:val="00EE0FDE"/>
    <w:rsid w:val="00EE3CDA"/>
    <w:rsid w:val="00EF37A8"/>
    <w:rsid w:val="00EF531F"/>
    <w:rsid w:val="00F00F3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B87"/>
    <w:rsid w:val="00F638CA"/>
    <w:rsid w:val="00F657C5"/>
    <w:rsid w:val="00F74243"/>
    <w:rsid w:val="00F900B4"/>
    <w:rsid w:val="00F92ED4"/>
    <w:rsid w:val="00F94AF1"/>
    <w:rsid w:val="00FA0F2E"/>
    <w:rsid w:val="00FA1FBC"/>
    <w:rsid w:val="00FA4DB1"/>
    <w:rsid w:val="00FB3F2A"/>
    <w:rsid w:val="00FC3593"/>
    <w:rsid w:val="00FC589B"/>
    <w:rsid w:val="00FD117D"/>
    <w:rsid w:val="00FD6E89"/>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DFE0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BF"/>
    <w:rPr>
      <w:lang w:val="en-US"/>
    </w:rPr>
  </w:style>
  <w:style w:type="character" w:default="1" w:styleId="DefaultParagraphFont">
    <w:name w:val="Default Paragraph Font"/>
    <w:uiPriority w:val="1"/>
    <w:semiHidden/>
    <w:unhideWhenUsed/>
    <w:rsid w:val="001972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72BF"/>
  </w:style>
  <w:style w:type="character" w:styleId="LineNumber">
    <w:name w:val="line number"/>
    <w:uiPriority w:val="99"/>
    <w:semiHidden/>
    <w:unhideWhenUsed/>
    <w:rsid w:val="001972BF"/>
    <w:rPr>
      <w:rFonts w:ascii="Times New Roman" w:hAnsi="Times New Roman"/>
      <w:b w:val="0"/>
      <w:i w:val="0"/>
      <w:sz w:val="22"/>
    </w:rPr>
  </w:style>
  <w:style w:type="paragraph" w:styleId="NoSpacing">
    <w:name w:val="No Spacing"/>
    <w:uiPriority w:val="1"/>
    <w:qFormat/>
    <w:rsid w:val="001972BF"/>
    <w:pPr>
      <w:spacing w:after="0" w:line="240" w:lineRule="auto"/>
    </w:pPr>
  </w:style>
  <w:style w:type="paragraph" w:customStyle="1" w:styleId="scemptylineheader">
    <w:name w:val="sc_emptyline_header"/>
    <w:qFormat/>
    <w:rsid w:val="001972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72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72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72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72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72BF"/>
    <w:rPr>
      <w:color w:val="808080"/>
    </w:rPr>
  </w:style>
  <w:style w:type="paragraph" w:customStyle="1" w:styleId="scdirectionallanguage">
    <w:name w:val="sc_directional_language"/>
    <w:qFormat/>
    <w:rsid w:val="001972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72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72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72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72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72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72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72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72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72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72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72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72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72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72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72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72BF"/>
    <w:rPr>
      <w:rFonts w:ascii="Times New Roman" w:hAnsi="Times New Roman"/>
      <w:color w:val="auto"/>
      <w:sz w:val="22"/>
    </w:rPr>
  </w:style>
  <w:style w:type="paragraph" w:customStyle="1" w:styleId="scclippagebillheader">
    <w:name w:val="sc_clip_page_bill_header"/>
    <w:qFormat/>
    <w:rsid w:val="001972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72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72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7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BF"/>
    <w:rPr>
      <w:lang w:val="en-US"/>
    </w:rPr>
  </w:style>
  <w:style w:type="paragraph" w:styleId="Footer">
    <w:name w:val="footer"/>
    <w:basedOn w:val="Normal"/>
    <w:link w:val="FooterChar"/>
    <w:uiPriority w:val="99"/>
    <w:unhideWhenUsed/>
    <w:rsid w:val="00197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BF"/>
    <w:rPr>
      <w:lang w:val="en-US"/>
    </w:rPr>
  </w:style>
  <w:style w:type="paragraph" w:styleId="ListParagraph">
    <w:name w:val="List Paragraph"/>
    <w:basedOn w:val="Normal"/>
    <w:uiPriority w:val="34"/>
    <w:qFormat/>
    <w:rsid w:val="001972BF"/>
    <w:pPr>
      <w:ind w:left="720"/>
      <w:contextualSpacing/>
    </w:pPr>
  </w:style>
  <w:style w:type="paragraph" w:customStyle="1" w:styleId="scbillfooter">
    <w:name w:val="sc_bill_footer"/>
    <w:qFormat/>
    <w:rsid w:val="001972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7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72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72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72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72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72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72BF"/>
    <w:pPr>
      <w:widowControl w:val="0"/>
      <w:suppressAutoHyphens/>
      <w:spacing w:after="0" w:line="360" w:lineRule="auto"/>
    </w:pPr>
    <w:rPr>
      <w:rFonts w:ascii="Times New Roman" w:hAnsi="Times New Roman"/>
      <w:lang w:val="en-US"/>
    </w:rPr>
  </w:style>
  <w:style w:type="paragraph" w:customStyle="1" w:styleId="sctableln">
    <w:name w:val="sc_table_ln"/>
    <w:qFormat/>
    <w:rsid w:val="001972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72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72BF"/>
    <w:rPr>
      <w:strike/>
      <w:dstrike w:val="0"/>
    </w:rPr>
  </w:style>
  <w:style w:type="character" w:customStyle="1" w:styleId="scinsert">
    <w:name w:val="sc_insert"/>
    <w:uiPriority w:val="1"/>
    <w:qFormat/>
    <w:rsid w:val="001972BF"/>
    <w:rPr>
      <w:caps w:val="0"/>
      <w:smallCaps w:val="0"/>
      <w:strike w:val="0"/>
      <w:dstrike w:val="0"/>
      <w:vanish w:val="0"/>
      <w:u w:val="single"/>
      <w:vertAlign w:val="baseline"/>
    </w:rPr>
  </w:style>
  <w:style w:type="character" w:customStyle="1" w:styleId="scinsertred">
    <w:name w:val="sc_insert_red"/>
    <w:uiPriority w:val="1"/>
    <w:qFormat/>
    <w:rsid w:val="001972BF"/>
    <w:rPr>
      <w:caps w:val="0"/>
      <w:smallCaps w:val="0"/>
      <w:strike w:val="0"/>
      <w:dstrike w:val="0"/>
      <w:vanish w:val="0"/>
      <w:color w:val="FF0000"/>
      <w:u w:val="single"/>
      <w:vertAlign w:val="baseline"/>
    </w:rPr>
  </w:style>
  <w:style w:type="character" w:customStyle="1" w:styleId="scinsertblue">
    <w:name w:val="sc_insert_blue"/>
    <w:uiPriority w:val="1"/>
    <w:qFormat/>
    <w:rsid w:val="001972BF"/>
    <w:rPr>
      <w:caps w:val="0"/>
      <w:smallCaps w:val="0"/>
      <w:strike w:val="0"/>
      <w:dstrike w:val="0"/>
      <w:vanish w:val="0"/>
      <w:color w:val="0070C0"/>
      <w:u w:val="single"/>
      <w:vertAlign w:val="baseline"/>
    </w:rPr>
  </w:style>
  <w:style w:type="character" w:customStyle="1" w:styleId="scstrikered">
    <w:name w:val="sc_strike_red"/>
    <w:uiPriority w:val="1"/>
    <w:qFormat/>
    <w:rsid w:val="001972BF"/>
    <w:rPr>
      <w:strike/>
      <w:dstrike w:val="0"/>
      <w:color w:val="FF0000"/>
    </w:rPr>
  </w:style>
  <w:style w:type="character" w:customStyle="1" w:styleId="scstrikeblue">
    <w:name w:val="sc_strike_blue"/>
    <w:uiPriority w:val="1"/>
    <w:qFormat/>
    <w:rsid w:val="001972BF"/>
    <w:rPr>
      <w:strike/>
      <w:dstrike w:val="0"/>
      <w:color w:val="0070C0"/>
    </w:rPr>
  </w:style>
  <w:style w:type="character" w:customStyle="1" w:styleId="scinsertbluenounderline">
    <w:name w:val="sc_insert_blue_no_underline"/>
    <w:uiPriority w:val="1"/>
    <w:qFormat/>
    <w:rsid w:val="001972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72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72BF"/>
    <w:rPr>
      <w:strike/>
      <w:dstrike w:val="0"/>
      <w:color w:val="0070C0"/>
      <w:lang w:val="en-US"/>
    </w:rPr>
  </w:style>
  <w:style w:type="character" w:customStyle="1" w:styleId="scstrikerednoncodified">
    <w:name w:val="sc_strike_red_non_codified"/>
    <w:uiPriority w:val="1"/>
    <w:qFormat/>
    <w:rsid w:val="001972BF"/>
    <w:rPr>
      <w:strike/>
      <w:dstrike w:val="0"/>
      <w:color w:val="FF0000"/>
    </w:rPr>
  </w:style>
  <w:style w:type="paragraph" w:customStyle="1" w:styleId="scbillsiglines">
    <w:name w:val="sc_bill_sig_lines"/>
    <w:qFormat/>
    <w:rsid w:val="001972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72BF"/>
    <w:rPr>
      <w:bdr w:val="none" w:sz="0" w:space="0" w:color="auto"/>
      <w:shd w:val="clear" w:color="auto" w:fill="FEC6C6"/>
    </w:rPr>
  </w:style>
  <w:style w:type="character" w:customStyle="1" w:styleId="screstoreblue">
    <w:name w:val="sc_restore_blue"/>
    <w:uiPriority w:val="1"/>
    <w:qFormat/>
    <w:rsid w:val="001972BF"/>
    <w:rPr>
      <w:color w:val="4472C4" w:themeColor="accent1"/>
      <w:bdr w:val="none" w:sz="0" w:space="0" w:color="auto"/>
      <w:shd w:val="clear" w:color="auto" w:fill="auto"/>
    </w:rPr>
  </w:style>
  <w:style w:type="character" w:customStyle="1" w:styleId="screstorered">
    <w:name w:val="sc_restore_red"/>
    <w:uiPriority w:val="1"/>
    <w:qFormat/>
    <w:rsid w:val="001972BF"/>
    <w:rPr>
      <w:color w:val="FF0000"/>
      <w:bdr w:val="none" w:sz="0" w:space="0" w:color="auto"/>
      <w:shd w:val="clear" w:color="auto" w:fill="auto"/>
    </w:rPr>
  </w:style>
  <w:style w:type="character" w:customStyle="1" w:styleId="scstrikenewblue">
    <w:name w:val="sc_strike_new_blue"/>
    <w:uiPriority w:val="1"/>
    <w:qFormat/>
    <w:rsid w:val="001972BF"/>
    <w:rPr>
      <w:strike w:val="0"/>
      <w:dstrike/>
      <w:color w:val="0070C0"/>
      <w:u w:val="none"/>
    </w:rPr>
  </w:style>
  <w:style w:type="character" w:customStyle="1" w:styleId="scstrikenewred">
    <w:name w:val="sc_strike_new_red"/>
    <w:uiPriority w:val="1"/>
    <w:qFormat/>
    <w:rsid w:val="001972BF"/>
    <w:rPr>
      <w:strike w:val="0"/>
      <w:dstrike/>
      <w:color w:val="FF0000"/>
      <w:u w:val="none"/>
    </w:rPr>
  </w:style>
  <w:style w:type="character" w:customStyle="1" w:styleId="scamendsenate">
    <w:name w:val="sc_amend_senate"/>
    <w:uiPriority w:val="1"/>
    <w:qFormat/>
    <w:rsid w:val="001972BF"/>
    <w:rPr>
      <w:bdr w:val="none" w:sz="0" w:space="0" w:color="auto"/>
      <w:shd w:val="clear" w:color="auto" w:fill="FFF2CC" w:themeFill="accent4" w:themeFillTint="33"/>
    </w:rPr>
  </w:style>
  <w:style w:type="character" w:customStyle="1" w:styleId="scamendhouse">
    <w:name w:val="sc_amend_house"/>
    <w:uiPriority w:val="1"/>
    <w:qFormat/>
    <w:rsid w:val="001972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C45B67"/>
    <w:rPr>
      <w:sz w:val="16"/>
      <w:szCs w:val="16"/>
    </w:rPr>
  </w:style>
  <w:style w:type="paragraph" w:styleId="CommentText">
    <w:name w:val="annotation text"/>
    <w:basedOn w:val="Normal"/>
    <w:link w:val="CommentTextChar"/>
    <w:uiPriority w:val="99"/>
    <w:unhideWhenUsed/>
    <w:rsid w:val="00C45B67"/>
    <w:pPr>
      <w:spacing w:line="240" w:lineRule="auto"/>
    </w:pPr>
    <w:rPr>
      <w:sz w:val="20"/>
      <w:szCs w:val="20"/>
    </w:rPr>
  </w:style>
  <w:style w:type="character" w:customStyle="1" w:styleId="CommentTextChar">
    <w:name w:val="Comment Text Char"/>
    <w:basedOn w:val="DefaultParagraphFont"/>
    <w:link w:val="CommentText"/>
    <w:uiPriority w:val="99"/>
    <w:rsid w:val="00C45B67"/>
    <w:rPr>
      <w:sz w:val="20"/>
      <w:szCs w:val="20"/>
      <w:lang w:val="en-US"/>
    </w:rPr>
  </w:style>
  <w:style w:type="paragraph" w:styleId="CommentSubject">
    <w:name w:val="annotation subject"/>
    <w:basedOn w:val="CommentText"/>
    <w:next w:val="CommentText"/>
    <w:link w:val="CommentSubjectChar"/>
    <w:uiPriority w:val="99"/>
    <w:semiHidden/>
    <w:unhideWhenUsed/>
    <w:rsid w:val="00C45B67"/>
    <w:rPr>
      <w:b/>
      <w:bCs/>
    </w:rPr>
  </w:style>
  <w:style w:type="character" w:customStyle="1" w:styleId="CommentSubjectChar">
    <w:name w:val="Comment Subject Char"/>
    <w:basedOn w:val="CommentTextChar"/>
    <w:link w:val="CommentSubject"/>
    <w:uiPriority w:val="99"/>
    <w:semiHidden/>
    <w:rsid w:val="00C45B6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30&amp;session=126&amp;summary=B" TargetMode="External" Id="R33eb01033fb14c7a" /><Relationship Type="http://schemas.openxmlformats.org/officeDocument/2006/relationships/hyperlink" Target="https://www.scstatehouse.gov/sess126_2025-2026/prever/930_20260217.docx" TargetMode="External" Id="R0af9460aa6ae4959" /><Relationship Type="http://schemas.openxmlformats.org/officeDocument/2006/relationships/hyperlink" Target="https://www.scstatehouse.gov/sess126_2025-2026/prever/930_20260218.docx" TargetMode="External" Id="R367288bf07c94c00" /><Relationship Type="http://schemas.openxmlformats.org/officeDocument/2006/relationships/hyperlink" Target="h:\sj\20260217.docx" TargetMode="External" Id="Rd5df057d0e90450f" /><Relationship Type="http://schemas.openxmlformats.org/officeDocument/2006/relationships/hyperlink" Target="h:\sj\20260217.docx" TargetMode="External" Id="R6ebda99398f846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F4E8C"/>
    <w:rsid w:val="00555945"/>
    <w:rsid w:val="00580C56"/>
    <w:rsid w:val="006B363F"/>
    <w:rsid w:val="007070D2"/>
    <w:rsid w:val="00730C87"/>
    <w:rsid w:val="00776F2C"/>
    <w:rsid w:val="008F7723"/>
    <w:rsid w:val="0090092D"/>
    <w:rsid w:val="009031EF"/>
    <w:rsid w:val="00912A5F"/>
    <w:rsid w:val="00940EED"/>
    <w:rsid w:val="00985255"/>
    <w:rsid w:val="009C3651"/>
    <w:rsid w:val="00A51DBA"/>
    <w:rsid w:val="00A62657"/>
    <w:rsid w:val="00B20DA6"/>
    <w:rsid w:val="00B457AF"/>
    <w:rsid w:val="00BF56C3"/>
    <w:rsid w:val="00C818FB"/>
    <w:rsid w:val="00CC0451"/>
    <w:rsid w:val="00D10B1E"/>
    <w:rsid w:val="00D5531A"/>
    <w:rsid w:val="00D6665C"/>
    <w:rsid w:val="00D900BD"/>
    <w:rsid w:val="00E76813"/>
    <w:rsid w:val="00F82BD9"/>
    <w:rsid w:val="00FC589B"/>
    <w:rsid w:val="00FD6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22d48737-12f3-4ae3-bac6-0be241f7f387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INTRODATE>2026-02-17</T_BILL_D_INTRODATE>
  <T_BILL_D_SENATEINTRODATE>2026-02-17</T_BILL_D_SENATEINTRODATE>
  <T_BILL_N_INTERNALVERSIONNUMBER>1</T_BILL_N_INTERNALVERSIONNUMBER>
  <T_BILL_N_SESSION>126</T_BILL_N_SESSION>
  <T_BILL_N_VERSIONNUMBER>1</T_BILL_N_VERSIONNUMBER>
  <T_BILL_N_YEAR>2026</T_BILL_N_YEAR>
  <T_BILL_REQUEST_REQUEST>161f6d29-c444-4af7-ab6b-fc7a9f994cc7</T_BILL_REQUEST_REQUEST>
  <T_BILL_R_ORIGINALDRAFT>d4354877-3f9c-4e70-b244-0d347923236b</T_BILL_R_ORIGINALDRAFT>
  <T_BILL_SPONSOR_SPONSOR>c6852c26-5d94-48ee-b772-3b5ac47bc9fa</T_BILL_SPONSOR_SPONSOR>
  <T_BILL_T_BILLNAME>[0930]</T_BILL_T_BILLNAME>
  <T_BILL_T_BILLNUMBER>930</T_BILL_T_BILLNUMBER>
  <T_BILL_T_BILLTITLE>TO AMEND THE SOUTH CAROLINA CODE OF LAWS BY ADDING SECTION 15‑32‑710 SO AS TO DEFINE TERMS RELATED TO CALCULATING MEDICAL EXPENSES FOR DAMAGE AWARDS; BY ADDING SECTION 15‑32‑720 SO AS TO PROVIDE THAT THE PLAINTIFF HAS THE BURDEN TO PROVE AMOUNT OF HIS DAMAGES ARISING FROM HEALTHCARE TREATMENT OR SERVICES; TO PROVIDE FOR THE EVIDENCE ALLOWED TO PROVE THE AMOUNT OF DAMAGES; TO PROVIDE FOR CERTAIN REQUIRED DISCLOSURES BY THE PLAINTIFF, AND TO PROVIDE THAT IT IS THE INTENT OF THE GENERAL ASSEMBLY THAT THIS SECTION ABROGATES THE COMMON LAW COLLATERAL SOURCE RULE TO THE EXTENT NECESSARY TO INTRODUCE THE EVIDENCE DESCRIBED IN THIS ACT.</T_BILL_T_BILLTITLE>
  <T_BILL_T_CHAMBER>senate</T_BILL_T_CHAMBER>
  <T_BILL_T_FILENAME> </T_BILL_T_FILENAME>
  <T_BILL_T_LEGTYPE>bill_statewide</T_BILL_T_LEGTYPE>
  <T_BILL_T_RATNUMBERSTRING>SNone</T_BILL_T_RATNUMBERSTRING>
  <T_BILL_T_SECTIONS>[{"SectionUUID":"cff84d98-8f9d-4b20-aafa-da946c169ded","SectionName":"code_section","SectionNumber":1,"SectionType":"code_section","CodeSections":[{"CodeSectionBookmarkName":"ns_T15C32N710_c1b1227c5","IsConstitutionSection":false,"Identity":"15-32-710","IsNew":true,"SubSections":[{"Level":1,"Identity":"T15C32N710S1","SubSectionBookmarkName":"ss_T15C32N710S1_lv1_a4ee44cdd","IsNewSubSection":false,"SubSectionReplacement":""},{"Level":1,"Identity":"T15C32N710S2","SubSectionBookmarkName":"ss_T15C32N710S2_lv1_db0d21b54","IsNewSubSection":false,"SubSectionReplacement":""},{"Level":1,"Identity":"T15C32N710S3","SubSectionBookmarkName":"ss_T15C32N710S3_lv1_8ee5b0ed5","IsNewSubSection":false,"SubSectionReplacement":""}],"TitleRelatedTo":"","TitleSoAsTo":"define terms related to calculating medical expenses for damage awards","Deleted":false,"IsStricken":false},{"CodeSectionBookmarkName":"ns_T15C32N720_16e34b4f2","IsConstitutionSection":false,"Identity":"15-32-720","IsNew":true,"SubSections":[{"Level":1,"Identity":"T15C32N720SA","SubSectionBookmarkName":"ss_T15C32N720SA_lv1_527c2015a","IsNewSubSection":false,"SubSectionReplacement":""},{"Level":1,"Identity":"T15C32N720SB","SubSectionBookmarkName":"ss_T15C32N720SB_lv1_a00f4fee1","IsNewSubSection":false,"SubSectionReplacement":""},{"Level":2,"Identity":"T15C32N720S1","SubSectionBookmarkName":"ss_T15C32N720S1_lv2_d60d28637","IsNewSubSection":false,"SubSectionReplacement":""},{"Level":2,"Identity":"T15C32N720S2","SubSectionBookmarkName":"ss_T15C32N720S2_lv2_eec757942","IsNewSubSection":false,"SubSectionReplacement":""},{"Level":1,"Identity":"T15C32N720SC","SubSectionBookmarkName":"ss_T15C32N720SC_lv1_e04fe415f","IsNewSubSection":false,"SubSectionReplacement":""},{"Level":2,"Identity":"T15C32N720S1","SubSectionBookmarkName":"ss_T15C32N720S1_lv2_dc243cdbc","IsNewSubSection":false,"SubSectionReplacement":""},{"Level":2,"Identity":"T15C32N720S2","SubSectionBookmarkName":"ss_T15C32N720S2_lv2_4db1356ec","IsNewSubSection":false,"SubSectionReplacement":""},{"Level":2,"Identity":"T15C32N720S3","SubSectionBookmarkName":"ss_T15C32N720S3_lv2_7e26f55eb","IsNewSubSection":false,"SubSectionReplacement":""},{"Level":3,"Identity":"T15C32N720Sa","SubSectionBookmarkName":"ss_T15C32N720Sa_lv3_91a9540ee","IsNewSubSection":false,"SubSectionReplacement":""},{"Level":3,"Identity":"T15C32N720Sb","SubSectionBookmarkName":"ss_T15C32N720Sb_lv3_f7ff6b8bf","IsNewSubSection":false,"SubSectionReplacement":""},{"Level":2,"Identity":"T15C32N720S4","SubSectionBookmarkName":"ss_T15C32N720S4_lv2_a14e081a9","IsNewSubSection":false,"SubSectionReplacement":""},{"Level":2,"Identity":"T15C32N720S5","SubSectionBookmarkName":"ss_T15C32N720S5_lv2_7f0d247b4","IsNewSubSection":false,"SubSectionReplacement":""},{"Level":1,"Identity":"T15C32N720SD","SubSectionBookmarkName":"ss_T15C32N720SD_lv1_d0159d5c8","IsNewSubSection":false,"SubSectionReplacement":""},{"Level":1,"Identity":"T15C32N720SE","SubSectionBookmarkName":"ss_T15C32N720SE_lv1_7e03e8168","IsNewSubSection":false,"SubSectionReplacement":""}],"TitleRelatedTo":"","TitleSoAsTo":"PROVIDE THAT THE PLAINTIFF HAS THE BURDEN TO PROVE AMOUNT OF HIS DAMAGES ARISING FROM HEALTH CARE TREATMENT OR SERVICES; TO PROVIDE FOR THE EVIDENCE ALLOWED TO PROVE THE AMOUNT OF DAMAGES; TO PROVIDE FOR CERTAIN REQUIRED DISCLOSURES BY THE PLAINTIFF, AND TO PROVIDE THAT IT IS THE INTENT OF THE GENERAL ASSEMBLY THAT THIS SECTION ABROGATES THE COMMON LAW COLLATERAL SOURCE RULE TO THE EXTENT NECESSARY TO INTRODUCE THE EVIDENCE DESCRIBED IN THIS ACT","Deleted":false,"IsStricken":false}],"TitleText":"","DisableControls":false,"Deleted":false,"RepealItems":[],"SectionBookmarkName":"bs_num_1_9311b37c3"},{"SectionUUID":"1bc1c4cd-30fc-405d-a5bc-9884b560b26e","SectionName":"New Blank SECTION","SectionNumber":2,"SectionType":"new","CodeSections":[],"TitleText":"","DisableControls":false,"Deleted":false,"RepealItems":[],"SectionBookmarkName":"bs_num_2_716783454"},{"SectionUUID":"1b9b601a-b8b4-4ae9-bdca-352d90b6e591","SectionName":"Savings","SectionNumber":3,"SectionType":"new","CodeSections":[],"TitleText":"","DisableControls":false,"Deleted":false,"RepealItems":[],"SectionBookmarkName":"bs_num_3_d8115eb3b"},{"SectionUUID":"0a47f121-7ebd-45c1-8b12-0b43a2d05ccf","SectionName":"Severability","SectionNumber":4,"SectionType":"new","CodeSections":[],"TitleText":"","DisableControls":false,"Deleted":false,"RepealItems":[],"SectionBookmarkName":"bs_num_4_05cdb58a1"},{"SectionUUID":"8f03ca95-8faa-4d43-a9c2-8afc498075bd","SectionName":"standard_eff_date_section","SectionNumber":5,"SectionType":"drafting_clause","CodeSections":[],"TitleText":"","DisableControls":false,"Deleted":false,"RepealItems":[],"SectionBookmarkName":"bs_num_5_lastsection"}]</T_BILL_T_SECTIONS>
  <T_BILL_T_SUBJECT>Calculating Medical Expenses for Damage Awards</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6098</Characters>
  <Application>Microsoft Office Word</Application>
  <DocSecurity>0</DocSecurity>
  <Lines>106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2026-02-18T17:46:00Z</dcterms:created>
  <dcterms:modified xsi:type="dcterms:W3CDTF">2026-02-18T17:47:00Z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